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203691">
      <w:pPr>
        <w:pStyle w:val="ProgramNote"/>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65FC627B" w14:textId="2466FC35" w:rsidR="00203691" w:rsidRDefault="007D7E00" w:rsidP="00203691">
      <w:pPr>
        <w:pStyle w:val="RptTitle"/>
      </w:pPr>
      <w:r>
        <w:t xml:space="preserve">Increasing Water Security on Pacific Islands Through Increased Data Availability and Understanding—Volume </w:t>
      </w:r>
      <w:r w:rsidR="007917B1">
        <w:t>7</w:t>
      </w:r>
      <w:r w:rsidR="009F718F">
        <w:t xml:space="preserve">, </w:t>
      </w:r>
      <w:r w:rsidR="007917B1">
        <w:t>Solomon Islands</w:t>
      </w:r>
    </w:p>
    <w:p w14:paraId="2302B286" w14:textId="26059FA3" w:rsidR="006A110F" w:rsidRPr="00BB2C9D" w:rsidRDefault="006A110F" w:rsidP="006A110F">
      <w:pPr>
        <w:pStyle w:val="RptAuthors"/>
      </w:pPr>
      <w:bookmarkStart w:id="5" w:name="_Hlk137455813"/>
      <w:r>
        <w:t xml:space="preserve">By </w:t>
      </w:r>
      <w:bookmarkStart w:id="6" w:name="_Hlk219445430"/>
      <w:r>
        <w:t xml:space="preserve">Gabriel </w:t>
      </w:r>
      <w:r w:rsidR="005733B5">
        <w:t xml:space="preserve">B. </w:t>
      </w:r>
      <w:r>
        <w:t>Senay,</w:t>
      </w:r>
      <w:r w:rsidRPr="4ABFC6BB">
        <w:rPr>
          <w:vertAlign w:val="superscript"/>
        </w:rPr>
        <w:t>1</w:t>
      </w:r>
      <w:r>
        <w:t xml:space="preserve"> Francis K. </w:t>
      </w:r>
      <w:bookmarkStart w:id="7" w:name="_Hlk219445501"/>
      <w:r>
        <w:t>Dwomoh</w:t>
      </w:r>
      <w:bookmarkEnd w:id="7"/>
      <w:r>
        <w:t>,</w:t>
      </w:r>
      <w:r w:rsidRPr="4ABFC6BB">
        <w:rPr>
          <w:vertAlign w:val="superscript"/>
        </w:rPr>
        <w:t>2</w:t>
      </w:r>
      <w:r>
        <w:t xml:space="preserve"> Stefanie Kagone,</w:t>
      </w:r>
      <w:r w:rsidRPr="4ABFC6BB">
        <w:rPr>
          <w:vertAlign w:val="superscript"/>
        </w:rPr>
        <w:t>2</w:t>
      </w:r>
      <w:r>
        <w:t xml:space="preserve"> </w:t>
      </w:r>
      <w:r w:rsidR="175D9B46">
        <w:t>Tomas Smieszek</w:t>
      </w:r>
      <w:r w:rsidR="175D9B46" w:rsidRPr="4ABFC6BB">
        <w:rPr>
          <w:vertAlign w:val="superscript"/>
        </w:rPr>
        <w:t>1</w:t>
      </w:r>
      <w:r w:rsidR="175D9B46">
        <w:t xml:space="preserve">, </w:t>
      </w:r>
      <w:r>
        <w:t>and Matthew E. Andersen</w:t>
      </w:r>
      <w:bookmarkEnd w:id="6"/>
      <w:r w:rsidRPr="4ABFC6BB">
        <w:rPr>
          <w:vertAlign w:val="superscript"/>
        </w:rPr>
        <w:t>1</w:t>
      </w:r>
    </w:p>
    <w:bookmarkEnd w:id="5"/>
    <w:p w14:paraId="44DF3EF2" w14:textId="77777777" w:rsidR="00862A44" w:rsidRDefault="00862A44" w:rsidP="00862A44">
      <w:pPr>
        <w:pStyle w:val="AuthorFootnote"/>
        <w:spacing w:line="240" w:lineRule="auto"/>
      </w:pPr>
      <w:r w:rsidRPr="00BB2C9D">
        <w:rPr>
          <w:vertAlign w:val="superscript"/>
        </w:rPr>
        <w:t>1</w:t>
      </w:r>
      <w:r>
        <w:t>U.S. Geological Survey.</w:t>
      </w:r>
    </w:p>
    <w:p w14:paraId="437EB48A" w14:textId="77777777" w:rsidR="00862A44" w:rsidRDefault="00862A44" w:rsidP="00862A44">
      <w:pPr>
        <w:pStyle w:val="AuthorFootnote"/>
        <w:spacing w:line="240" w:lineRule="auto"/>
      </w:pPr>
      <w:r>
        <w:rPr>
          <w:vertAlign w:val="superscript"/>
        </w:rPr>
        <w:t>2</w:t>
      </w:r>
      <w:r w:rsidRPr="00DB298B">
        <w:t>ASRC Federal, contractor to the U.S. Geological Survey (USGS) Earth Resources Observations and Science (EROS) Center, Sioux Falls, SD 57198, USA. Work performed under USGS Contract [140G0124D0001]</w:t>
      </w:r>
      <w:r>
        <w:t>.</w:t>
      </w:r>
    </w:p>
    <w:p w14:paraId="1C180868" w14:textId="77777777" w:rsidR="00862A44" w:rsidRDefault="00862A44" w:rsidP="00862A44">
      <w:pPr>
        <w:pStyle w:val="AuthorFootnote"/>
        <w:spacing w:line="240" w:lineRule="auto"/>
      </w:pPr>
    </w:p>
    <w:p w14:paraId="792FD0EF" w14:textId="77777777" w:rsidR="00203691" w:rsidRDefault="00203691" w:rsidP="00203691">
      <w:pPr>
        <w:pStyle w:val="Non-XMLText"/>
      </w:pPr>
      <w:r>
        <w:t>Any use of trade, firm, or product names is for descriptive purposes only and does not imply endorsement by the U.S. Government.</w:t>
      </w:r>
    </w:p>
    <w:p w14:paraId="3A6F54F7" w14:textId="77777777" w:rsidR="00203691" w:rsidRDefault="00203691" w:rsidP="00203691">
      <w:pPr>
        <w:pStyle w:val="Non-XMLText"/>
      </w:pPr>
      <w:r>
        <w:t>Although this information product, for the most part, is in the public domain, it also may contain copyrighted materials as noted in the text. Permission to reproduce copyrighted items must be secured from the copyright owner.</w:t>
      </w:r>
    </w:p>
    <w:p w14:paraId="4AE7C31C" w14:textId="44ECEAAD" w:rsidR="007A6540" w:rsidRDefault="007A6540" w:rsidP="009F4698">
      <w:pPr>
        <w:pStyle w:val="Non-XMLText"/>
        <w:jc w:val="both"/>
      </w:pPr>
      <w:r w:rsidRPr="00C54333">
        <w:t xml:space="preserve">This draft manuscript is distributed solely for purposes of courtesy review and comments received will be addressed and treated as appropriate to ensure there is no conflict of interest. Its content is </w:t>
      </w:r>
      <w:proofErr w:type="gramStart"/>
      <w:r w:rsidRPr="00C54333">
        <w:t>deliberative</w:t>
      </w:r>
      <w:proofErr w:type="gramEnd"/>
      <w:r w:rsidRPr="00C54333">
        <w:t xml:space="preserve"> and </w:t>
      </w:r>
      <w:proofErr w:type="spellStart"/>
      <w:r w:rsidRPr="00C54333">
        <w:t>predecisional</w:t>
      </w:r>
      <w:proofErr w:type="spellEnd"/>
      <w:r w:rsidRPr="00C54333">
        <w:t>, so it must not be disclosed or released by reviewers. Because the manuscript has not yet been approved for publication by the U.S. Geological Survey (USGS), it does not represent any official USGS finding or policy.</w:t>
      </w:r>
    </w:p>
    <w:p w14:paraId="1EE00DB8" w14:textId="7AA0B2AC" w:rsidR="00203691" w:rsidRPr="00806F81" w:rsidRDefault="00203691" w:rsidP="00203691">
      <w:pPr>
        <w:pStyle w:val="AckHeadFront"/>
      </w:pPr>
      <w:bookmarkStart w:id="8" w:name="_Toc507583974"/>
      <w:bookmarkStart w:id="9" w:name="_Toc507584028"/>
      <w:bookmarkStart w:id="10" w:name="_Toc531073705"/>
      <w:bookmarkStart w:id="11" w:name="_Toc228286020"/>
      <w:r w:rsidRPr="00806F81">
        <w:lastRenderedPageBreak/>
        <w:t>Acknowledgments</w:t>
      </w:r>
      <w:bookmarkEnd w:id="8"/>
      <w:bookmarkEnd w:id="9"/>
      <w:bookmarkEnd w:id="10"/>
      <w:bookmarkEnd w:id="11"/>
    </w:p>
    <w:p w14:paraId="3C7AE706" w14:textId="76BF0334" w:rsidR="00627205" w:rsidRDefault="00627205" w:rsidP="00627205">
      <w:pPr>
        <w:pStyle w:val="Acknowledgments"/>
      </w:pPr>
      <w:r>
        <w:t>This work was conducted in collaboration with the Strengthening Resilient and Sustainable Urban and Water Service Delivery in the Pacific project of the Water and Urban Development Sector of the Asian Development Bank (ADB). ADB provided financial support from some USGS technical salaries and associated administrative costs, including some of the travel necessary to administer and manage the work</w:t>
      </w:r>
      <w:r w:rsidR="00BD0DC1">
        <w:t>.</w:t>
      </w:r>
    </w:p>
    <w:p w14:paraId="7A31C8DF" w14:textId="77777777" w:rsidR="00BB2B28" w:rsidRDefault="00BB2B28" w:rsidP="00203691">
      <w:pPr>
        <w:pStyle w:val="Acknowledgments"/>
      </w:pPr>
    </w:p>
    <w:p w14:paraId="04EBDEE1" w14:textId="77777777" w:rsidR="00203691" w:rsidRDefault="00203691" w:rsidP="00203691">
      <w:pPr>
        <w:pStyle w:val="TOCHeading1"/>
      </w:pPr>
      <w:bookmarkStart w:id="12" w:name="_Toc507583975"/>
      <w:bookmarkStart w:id="13" w:name="_Toc507584029"/>
      <w:r>
        <w:t>Outline</w:t>
      </w:r>
      <w:bookmarkEnd w:id="12"/>
      <w:bookmarkEnd w:id="13"/>
    </w:p>
    <w:p w14:paraId="67ADC526" w14:textId="77777777" w:rsidR="00394A52" w:rsidRDefault="00203691">
      <w:pPr>
        <w:pStyle w:val="TOC1"/>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\o "5-5" \n \h \z \t "Heading 1,1,Heading 2,2,Heading 3,3,Heading 4,4,Base_Heading,1,AckHeadFront,1,AckHeadBack,1,Head1,1,Head2,2,Head3,3,Head4,4,DefListTitleBack,1,BackMatterHead,1,RefHeadBack,1,AppendixTitle,1,RefHeadChap,1,DMUHead1Back,1,DMUHead1Front,1,RefHeadFront,1" </w:instrText>
      </w:r>
      <w:r>
        <w:rPr>
          <w:color w:val="2B579A"/>
          <w:shd w:val="clear" w:color="auto" w:fill="E6E6E6"/>
        </w:rPr>
        <w:fldChar w:fldCharType="separate"/>
      </w:r>
      <w:hyperlink w:anchor="_Toc228286020" w:history="1">
        <w:r w:rsidR="00394A52" w:rsidRPr="00E12963">
          <w:rPr>
            <w:rStyle w:val="Hyperlink"/>
            <w:noProof/>
          </w:rPr>
          <w:t>Acknowledgments</w:t>
        </w:r>
      </w:hyperlink>
    </w:p>
    <w:p w14:paraId="1071215E" w14:textId="77777777" w:rsidR="00394A52" w:rsidRDefault="00394A52">
      <w:pPr>
        <w:pStyle w:val="TOC1"/>
        <w:rPr>
          <w:rFonts w:asciiTheme="minorHAnsi" w:eastAsiaTheme="minorEastAsia" w:hAnsiTheme="minorHAnsi" w:cstheme="minorBidi"/>
          <w:noProof/>
          <w:kern w:val="2"/>
          <w14:ligatures w14:val="standardContextual"/>
        </w:rPr>
      </w:pPr>
      <w:hyperlink w:anchor="_Toc228286021" w:history="1">
        <w:r w:rsidRPr="00E12963">
          <w:rPr>
            <w:rStyle w:val="Hyperlink"/>
            <w:noProof/>
          </w:rPr>
          <w:t>Figures</w:t>
        </w:r>
      </w:hyperlink>
    </w:p>
    <w:p w14:paraId="5F19CF77" w14:textId="77777777" w:rsidR="00394A52" w:rsidRDefault="00394A52">
      <w:pPr>
        <w:pStyle w:val="TOC1"/>
        <w:rPr>
          <w:rFonts w:asciiTheme="minorHAnsi" w:eastAsiaTheme="minorEastAsia" w:hAnsiTheme="minorHAnsi" w:cstheme="minorBidi"/>
          <w:noProof/>
          <w:kern w:val="2"/>
          <w14:ligatures w14:val="standardContextual"/>
        </w:rPr>
      </w:pPr>
      <w:hyperlink w:anchor="_Toc228286022" w:history="1">
        <w:r w:rsidRPr="00E12963">
          <w:rPr>
            <w:rStyle w:val="Hyperlink"/>
            <w:noProof/>
          </w:rPr>
          <w:t>Tables</w:t>
        </w:r>
      </w:hyperlink>
    </w:p>
    <w:p w14:paraId="7C38EA88" w14:textId="77777777" w:rsidR="00394A52" w:rsidRDefault="00394A52">
      <w:pPr>
        <w:pStyle w:val="TOC1"/>
        <w:rPr>
          <w:rFonts w:asciiTheme="minorHAnsi" w:eastAsiaTheme="minorEastAsia" w:hAnsiTheme="minorHAnsi" w:cstheme="minorBidi"/>
          <w:noProof/>
          <w:kern w:val="2"/>
          <w14:ligatures w14:val="standardContextual"/>
        </w:rPr>
      </w:pPr>
      <w:hyperlink w:anchor="_Toc228286023" w:history="1">
        <w:r w:rsidRPr="00E12963">
          <w:rPr>
            <w:rStyle w:val="Hyperlink"/>
            <w:noProof/>
          </w:rPr>
          <w:t>Introduction</w:t>
        </w:r>
      </w:hyperlink>
    </w:p>
    <w:p w14:paraId="2E8A6F99" w14:textId="77777777" w:rsidR="00394A52" w:rsidRDefault="00394A52">
      <w:pPr>
        <w:pStyle w:val="TOC1"/>
        <w:rPr>
          <w:rFonts w:asciiTheme="minorHAnsi" w:eastAsiaTheme="minorEastAsia" w:hAnsiTheme="minorHAnsi" w:cstheme="minorBidi"/>
          <w:noProof/>
          <w:kern w:val="2"/>
          <w14:ligatures w14:val="standardContextual"/>
        </w:rPr>
      </w:pPr>
      <w:hyperlink w:anchor="_Toc228286024" w:history="1">
        <w:r w:rsidRPr="00E12963">
          <w:rPr>
            <w:rStyle w:val="Hyperlink"/>
            <w:noProof/>
          </w:rPr>
          <w:t>Purpose and Scope</w:t>
        </w:r>
      </w:hyperlink>
    </w:p>
    <w:p w14:paraId="0FE814BB" w14:textId="77777777" w:rsidR="00394A52" w:rsidRDefault="00394A52">
      <w:pPr>
        <w:pStyle w:val="TOC1"/>
        <w:rPr>
          <w:rFonts w:asciiTheme="minorHAnsi" w:eastAsiaTheme="minorEastAsia" w:hAnsiTheme="minorHAnsi" w:cstheme="minorBidi"/>
          <w:noProof/>
          <w:kern w:val="2"/>
          <w14:ligatures w14:val="standardContextual"/>
        </w:rPr>
      </w:pPr>
      <w:hyperlink w:anchor="_Toc228286025" w:history="1">
        <w:r w:rsidRPr="00E12963">
          <w:rPr>
            <w:rStyle w:val="Hyperlink"/>
            <w:noProof/>
          </w:rPr>
          <w:t>Solomon Islands</w:t>
        </w:r>
      </w:hyperlink>
    </w:p>
    <w:p w14:paraId="556FFCBC" w14:textId="77777777" w:rsidR="00394A52" w:rsidRDefault="00394A52">
      <w:pPr>
        <w:pStyle w:val="TOC2"/>
        <w:rPr>
          <w:rFonts w:asciiTheme="minorHAnsi" w:eastAsiaTheme="minorEastAsia" w:hAnsiTheme="minorHAnsi" w:cstheme="minorBidi"/>
          <w:noProof/>
          <w:kern w:val="2"/>
          <w14:ligatures w14:val="standardContextual"/>
        </w:rPr>
      </w:pPr>
      <w:hyperlink w:anchor="_Toc228286026" w:history="1">
        <w:r w:rsidRPr="00E12963">
          <w:rPr>
            <w:rStyle w:val="Hyperlink"/>
            <w:noProof/>
          </w:rPr>
          <w:t>Basin for City of Honiara, Island of Guadalcanal</w:t>
        </w:r>
      </w:hyperlink>
    </w:p>
    <w:p w14:paraId="443F97FB" w14:textId="77777777" w:rsidR="00394A52" w:rsidRDefault="00394A52">
      <w:pPr>
        <w:pStyle w:val="TOC3"/>
        <w:rPr>
          <w:rFonts w:asciiTheme="minorHAnsi" w:eastAsiaTheme="minorEastAsia" w:hAnsiTheme="minorHAnsi" w:cstheme="minorBidi"/>
          <w:noProof/>
          <w:kern w:val="2"/>
          <w14:ligatures w14:val="standardContextual"/>
        </w:rPr>
      </w:pPr>
      <w:hyperlink w:anchor="_Toc228286027" w:history="1">
        <w:r w:rsidRPr="00E12963">
          <w:rPr>
            <w:rStyle w:val="Hyperlink"/>
            <w:noProof/>
          </w:rPr>
          <w:t>Precipitation</w:t>
        </w:r>
      </w:hyperlink>
    </w:p>
    <w:p w14:paraId="56B6504C" w14:textId="77777777" w:rsidR="00394A52" w:rsidRDefault="00394A52">
      <w:pPr>
        <w:pStyle w:val="TOC3"/>
        <w:rPr>
          <w:rFonts w:asciiTheme="minorHAnsi" w:eastAsiaTheme="minorEastAsia" w:hAnsiTheme="minorHAnsi" w:cstheme="minorBidi"/>
          <w:noProof/>
          <w:kern w:val="2"/>
          <w14:ligatures w14:val="standardContextual"/>
        </w:rPr>
      </w:pPr>
      <w:hyperlink w:anchor="_Toc228286028" w:history="1">
        <w:r w:rsidRPr="00E12963">
          <w:rPr>
            <w:rStyle w:val="Hyperlink"/>
            <w:noProof/>
          </w:rPr>
          <w:t>Evapotranspiration</w:t>
        </w:r>
      </w:hyperlink>
    </w:p>
    <w:p w14:paraId="2B3364D4" w14:textId="77777777" w:rsidR="00394A52" w:rsidRDefault="00394A52">
      <w:pPr>
        <w:pStyle w:val="TOC3"/>
        <w:rPr>
          <w:rFonts w:asciiTheme="minorHAnsi" w:eastAsiaTheme="minorEastAsia" w:hAnsiTheme="minorHAnsi" w:cstheme="minorBidi"/>
          <w:noProof/>
          <w:kern w:val="2"/>
          <w14:ligatures w14:val="standardContextual"/>
        </w:rPr>
      </w:pPr>
      <w:hyperlink w:anchor="_Toc228286029" w:history="1">
        <w:r w:rsidRPr="00E12963">
          <w:rPr>
            <w:rStyle w:val="Hyperlink"/>
            <w:noProof/>
          </w:rPr>
          <w:t>Water Balance</w:t>
        </w:r>
      </w:hyperlink>
    </w:p>
    <w:p w14:paraId="6DAFDE19" w14:textId="77777777" w:rsidR="00394A52" w:rsidRDefault="00394A52">
      <w:pPr>
        <w:pStyle w:val="TOC3"/>
        <w:rPr>
          <w:rFonts w:asciiTheme="minorHAnsi" w:eastAsiaTheme="minorEastAsia" w:hAnsiTheme="minorHAnsi" w:cstheme="minorBidi"/>
          <w:noProof/>
          <w:kern w:val="2"/>
          <w14:ligatures w14:val="standardContextual"/>
        </w:rPr>
      </w:pPr>
      <w:hyperlink w:anchor="_Toc228286030" w:history="1">
        <w:r w:rsidRPr="00E12963">
          <w:rPr>
            <w:rStyle w:val="Hyperlink"/>
            <w:noProof/>
          </w:rPr>
          <w:t>Informal Settlement Mapping</w:t>
        </w:r>
      </w:hyperlink>
    </w:p>
    <w:p w14:paraId="0EE8510F" w14:textId="77777777" w:rsidR="00394A52" w:rsidRDefault="00394A52">
      <w:pPr>
        <w:pStyle w:val="TOC3"/>
        <w:rPr>
          <w:rFonts w:asciiTheme="minorHAnsi" w:eastAsiaTheme="minorEastAsia" w:hAnsiTheme="minorHAnsi" w:cstheme="minorBidi"/>
          <w:noProof/>
          <w:kern w:val="2"/>
          <w14:ligatures w14:val="standardContextual"/>
        </w:rPr>
      </w:pPr>
      <w:hyperlink w:anchor="_Toc228286031" w:history="1">
        <w:r w:rsidRPr="00E12963">
          <w:rPr>
            <w:rStyle w:val="Hyperlink"/>
            <w:noProof/>
          </w:rPr>
          <w:t>Seismicity</w:t>
        </w:r>
      </w:hyperlink>
    </w:p>
    <w:p w14:paraId="017A5630" w14:textId="77777777" w:rsidR="00394A52" w:rsidRDefault="00394A52">
      <w:pPr>
        <w:pStyle w:val="TOC2"/>
        <w:rPr>
          <w:rFonts w:asciiTheme="minorHAnsi" w:eastAsiaTheme="minorEastAsia" w:hAnsiTheme="minorHAnsi" w:cstheme="minorBidi"/>
          <w:noProof/>
          <w:kern w:val="2"/>
          <w14:ligatures w14:val="standardContextual"/>
        </w:rPr>
      </w:pPr>
      <w:hyperlink w:anchor="_Toc228286032" w:history="1">
        <w:r w:rsidRPr="00E12963">
          <w:rPr>
            <w:rStyle w:val="Hyperlink"/>
            <w:noProof/>
          </w:rPr>
          <w:t>Cities of Noro and Munda in Basin</w:t>
        </w:r>
      </w:hyperlink>
    </w:p>
    <w:p w14:paraId="4D492995" w14:textId="77777777" w:rsidR="00394A52" w:rsidRDefault="00394A52">
      <w:pPr>
        <w:pStyle w:val="TOC3"/>
        <w:rPr>
          <w:rFonts w:asciiTheme="minorHAnsi" w:eastAsiaTheme="minorEastAsia" w:hAnsiTheme="minorHAnsi" w:cstheme="minorBidi"/>
          <w:noProof/>
          <w:kern w:val="2"/>
          <w14:ligatures w14:val="standardContextual"/>
        </w:rPr>
      </w:pPr>
      <w:hyperlink w:anchor="_Toc228286033" w:history="1">
        <w:r w:rsidRPr="00E12963">
          <w:rPr>
            <w:rStyle w:val="Hyperlink"/>
            <w:noProof/>
          </w:rPr>
          <w:t>Precipitation</w:t>
        </w:r>
      </w:hyperlink>
    </w:p>
    <w:p w14:paraId="0ACD112D" w14:textId="77777777" w:rsidR="00394A52" w:rsidRDefault="00394A52">
      <w:pPr>
        <w:pStyle w:val="TOC3"/>
        <w:rPr>
          <w:rFonts w:asciiTheme="minorHAnsi" w:eastAsiaTheme="minorEastAsia" w:hAnsiTheme="minorHAnsi" w:cstheme="minorBidi"/>
          <w:noProof/>
          <w:kern w:val="2"/>
          <w14:ligatures w14:val="standardContextual"/>
        </w:rPr>
      </w:pPr>
      <w:hyperlink w:anchor="_Toc228286034" w:history="1">
        <w:r w:rsidRPr="00E12963">
          <w:rPr>
            <w:rStyle w:val="Hyperlink"/>
            <w:noProof/>
          </w:rPr>
          <w:t>Evapotranspiration</w:t>
        </w:r>
      </w:hyperlink>
    </w:p>
    <w:p w14:paraId="78189455" w14:textId="77777777" w:rsidR="00394A52" w:rsidRDefault="00394A52">
      <w:pPr>
        <w:pStyle w:val="TOC3"/>
        <w:rPr>
          <w:rFonts w:asciiTheme="minorHAnsi" w:eastAsiaTheme="minorEastAsia" w:hAnsiTheme="minorHAnsi" w:cstheme="minorBidi"/>
          <w:noProof/>
          <w:kern w:val="2"/>
          <w14:ligatures w14:val="standardContextual"/>
        </w:rPr>
      </w:pPr>
      <w:hyperlink w:anchor="_Toc228286035" w:history="1">
        <w:r w:rsidRPr="00E12963">
          <w:rPr>
            <w:rStyle w:val="Hyperlink"/>
            <w:noProof/>
          </w:rPr>
          <w:t>Water Balance</w:t>
        </w:r>
      </w:hyperlink>
    </w:p>
    <w:p w14:paraId="61FF686E" w14:textId="77777777" w:rsidR="00394A52" w:rsidRDefault="00394A52">
      <w:pPr>
        <w:pStyle w:val="TOC3"/>
        <w:rPr>
          <w:rFonts w:asciiTheme="minorHAnsi" w:eastAsiaTheme="minorEastAsia" w:hAnsiTheme="minorHAnsi" w:cstheme="minorBidi"/>
          <w:noProof/>
          <w:kern w:val="2"/>
          <w14:ligatures w14:val="standardContextual"/>
        </w:rPr>
      </w:pPr>
      <w:hyperlink w:anchor="_Toc228286036" w:history="1">
        <w:r w:rsidRPr="00E12963">
          <w:rPr>
            <w:rStyle w:val="Hyperlink"/>
            <w:noProof/>
          </w:rPr>
          <w:t>Drought Monitoring</w:t>
        </w:r>
      </w:hyperlink>
    </w:p>
    <w:p w14:paraId="1E561F00" w14:textId="77777777" w:rsidR="00394A52" w:rsidRDefault="00394A52">
      <w:pPr>
        <w:pStyle w:val="TOC4"/>
        <w:rPr>
          <w:rFonts w:asciiTheme="minorHAnsi" w:eastAsiaTheme="minorEastAsia" w:hAnsiTheme="minorHAnsi" w:cstheme="minorBidi"/>
          <w:noProof/>
          <w:kern w:val="2"/>
          <w14:ligatures w14:val="standardContextual"/>
        </w:rPr>
      </w:pPr>
      <w:hyperlink w:anchor="_Toc228286037" w:history="1">
        <w:r w:rsidRPr="00E12963">
          <w:rPr>
            <w:rStyle w:val="Hyperlink"/>
            <w:noProof/>
          </w:rPr>
          <w:t>Munda</w:t>
        </w:r>
      </w:hyperlink>
    </w:p>
    <w:p w14:paraId="68F01113" w14:textId="77777777" w:rsidR="00394A52" w:rsidRDefault="00394A52">
      <w:pPr>
        <w:pStyle w:val="TOC4"/>
        <w:rPr>
          <w:rFonts w:asciiTheme="minorHAnsi" w:eastAsiaTheme="minorEastAsia" w:hAnsiTheme="minorHAnsi" w:cstheme="minorBidi"/>
          <w:noProof/>
          <w:kern w:val="2"/>
          <w14:ligatures w14:val="standardContextual"/>
        </w:rPr>
      </w:pPr>
      <w:hyperlink w:anchor="_Toc228286038" w:history="1">
        <w:r w:rsidRPr="00E12963">
          <w:rPr>
            <w:rStyle w:val="Hyperlink"/>
            <w:noProof/>
          </w:rPr>
          <w:t>Noro</w:t>
        </w:r>
      </w:hyperlink>
    </w:p>
    <w:p w14:paraId="5CCBEA14" w14:textId="77777777" w:rsidR="00394A52" w:rsidRDefault="00394A52">
      <w:pPr>
        <w:pStyle w:val="TOC4"/>
        <w:rPr>
          <w:rFonts w:asciiTheme="minorHAnsi" w:eastAsiaTheme="minorEastAsia" w:hAnsiTheme="minorHAnsi" w:cstheme="minorBidi"/>
          <w:noProof/>
          <w:kern w:val="2"/>
          <w14:ligatures w14:val="standardContextual"/>
        </w:rPr>
      </w:pPr>
      <w:hyperlink w:anchor="_Toc228286039" w:history="1">
        <w:r w:rsidRPr="00E12963">
          <w:rPr>
            <w:rStyle w:val="Hyperlink"/>
            <w:noProof/>
          </w:rPr>
          <w:t>Noro–Munda Basin</w:t>
        </w:r>
      </w:hyperlink>
    </w:p>
    <w:p w14:paraId="15DFFBDA" w14:textId="77777777" w:rsidR="00394A52" w:rsidRDefault="00394A52">
      <w:pPr>
        <w:pStyle w:val="TOC3"/>
        <w:rPr>
          <w:rFonts w:asciiTheme="minorHAnsi" w:eastAsiaTheme="minorEastAsia" w:hAnsiTheme="minorHAnsi" w:cstheme="minorBidi"/>
          <w:noProof/>
          <w:kern w:val="2"/>
          <w14:ligatures w14:val="standardContextual"/>
        </w:rPr>
      </w:pPr>
      <w:hyperlink w:anchor="_Toc228286040" w:history="1">
        <w:r w:rsidRPr="00E12963">
          <w:rPr>
            <w:rStyle w:val="Hyperlink"/>
            <w:noProof/>
          </w:rPr>
          <w:t>Automated 7-Day Precipitation Forecasting</w:t>
        </w:r>
      </w:hyperlink>
    </w:p>
    <w:p w14:paraId="4CCD93F7" w14:textId="77777777" w:rsidR="00394A52" w:rsidRDefault="00394A52">
      <w:pPr>
        <w:pStyle w:val="TOC3"/>
        <w:rPr>
          <w:rFonts w:asciiTheme="minorHAnsi" w:eastAsiaTheme="minorEastAsia" w:hAnsiTheme="minorHAnsi" w:cstheme="minorBidi"/>
          <w:noProof/>
          <w:kern w:val="2"/>
          <w14:ligatures w14:val="standardContextual"/>
        </w:rPr>
      </w:pPr>
      <w:hyperlink w:anchor="_Toc228286041" w:history="1">
        <w:r w:rsidRPr="00E12963">
          <w:rPr>
            <w:rStyle w:val="Hyperlink"/>
            <w:noProof/>
          </w:rPr>
          <w:t>Seismicity</w:t>
        </w:r>
      </w:hyperlink>
    </w:p>
    <w:p w14:paraId="05B2464C" w14:textId="77777777" w:rsidR="00394A52" w:rsidRDefault="00394A52">
      <w:pPr>
        <w:pStyle w:val="TOC1"/>
        <w:rPr>
          <w:rFonts w:asciiTheme="minorHAnsi" w:eastAsiaTheme="minorEastAsia" w:hAnsiTheme="minorHAnsi" w:cstheme="minorBidi"/>
          <w:noProof/>
          <w:kern w:val="2"/>
          <w14:ligatures w14:val="standardContextual"/>
        </w:rPr>
      </w:pPr>
      <w:hyperlink w:anchor="_Toc228286042" w:history="1">
        <w:r w:rsidRPr="00E12963">
          <w:rPr>
            <w:rStyle w:val="Hyperlink"/>
            <w:noProof/>
          </w:rPr>
          <w:t>Discussion</w:t>
        </w:r>
      </w:hyperlink>
    </w:p>
    <w:p w14:paraId="233F83BD" w14:textId="77777777" w:rsidR="00394A52" w:rsidRDefault="00394A52">
      <w:pPr>
        <w:pStyle w:val="TOC1"/>
        <w:rPr>
          <w:rFonts w:asciiTheme="minorHAnsi" w:eastAsiaTheme="minorEastAsia" w:hAnsiTheme="minorHAnsi" w:cstheme="minorBidi"/>
          <w:noProof/>
          <w:kern w:val="2"/>
          <w14:ligatures w14:val="standardContextual"/>
        </w:rPr>
      </w:pPr>
      <w:hyperlink w:anchor="_Toc228286043" w:history="1">
        <w:r w:rsidRPr="00E12963">
          <w:rPr>
            <w:rStyle w:val="Hyperlink"/>
            <w:noProof/>
          </w:rPr>
          <w:t>Conclusion</w:t>
        </w:r>
      </w:hyperlink>
    </w:p>
    <w:p w14:paraId="56ADB0FE" w14:textId="77777777" w:rsidR="00394A52" w:rsidRDefault="00394A52">
      <w:pPr>
        <w:pStyle w:val="TOC1"/>
        <w:rPr>
          <w:rFonts w:asciiTheme="minorHAnsi" w:eastAsiaTheme="minorEastAsia" w:hAnsiTheme="minorHAnsi" w:cstheme="minorBidi"/>
          <w:noProof/>
          <w:kern w:val="2"/>
          <w14:ligatures w14:val="standardContextual"/>
        </w:rPr>
      </w:pPr>
      <w:hyperlink w:anchor="_Toc228286044" w:history="1">
        <w:r w:rsidRPr="00E12963">
          <w:rPr>
            <w:rStyle w:val="Hyperlink"/>
            <w:noProof/>
          </w:rPr>
          <w:t>References Cited</w:t>
        </w:r>
      </w:hyperlink>
    </w:p>
    <w:p w14:paraId="662DFC9A" w14:textId="420C5B23" w:rsidR="00203691" w:rsidRDefault="00203691" w:rsidP="00203691">
      <w:pPr>
        <w:pStyle w:val="TOC1"/>
      </w:pPr>
      <w:r>
        <w:rPr>
          <w:color w:val="2B579A"/>
          <w:shd w:val="clear" w:color="auto" w:fill="E6E6E6"/>
        </w:rPr>
        <w:fldChar w:fldCharType="end"/>
      </w:r>
    </w:p>
    <w:p w14:paraId="0D409EF4" w14:textId="77777777" w:rsidR="00203691" w:rsidRDefault="00203691" w:rsidP="009F4698">
      <w:pPr>
        <w:pStyle w:val="Head1"/>
      </w:pPr>
      <w:bookmarkStart w:id="14" w:name="_Toc228286021"/>
      <w:bookmarkStart w:id="15" w:name="_Toc507583976"/>
      <w:bookmarkStart w:id="16" w:name="_Toc507584030"/>
      <w:r>
        <w:lastRenderedPageBreak/>
        <w:t>Figures</w:t>
      </w:r>
      <w:bookmarkEnd w:id="14"/>
    </w:p>
    <w:p w14:paraId="5E5B75F9" w14:textId="77777777" w:rsidR="003D1273"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\n \h \z \t "FigureCaption,1" \c "Figure" </w:instrText>
      </w:r>
      <w:r>
        <w:rPr>
          <w:color w:val="2B579A"/>
          <w:shd w:val="clear" w:color="auto" w:fill="E6E6E6"/>
        </w:rPr>
        <w:fldChar w:fldCharType="separate"/>
      </w:r>
      <w:hyperlink w:anchor="_Toc227691711" w:history="1">
        <w:r w:rsidR="003D1273" w:rsidRPr="001440F0">
          <w:rPr>
            <w:rStyle w:val="Hyperlink"/>
            <w:noProof/>
          </w:rPr>
          <w:t>Figure 1. Map of Western Pacific Ocean Island Nations. The Geographic Coordinate System is WGS84. Sources: Esri, TomTom, FAO, NOAA, USGS.</w:t>
        </w:r>
      </w:hyperlink>
    </w:p>
    <w:p w14:paraId="75C9BB67"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2" w:history="1">
        <w:r w:rsidRPr="001440F0">
          <w:rPr>
            <w:rStyle w:val="Hyperlink"/>
            <w:noProof/>
          </w:rPr>
          <w:t>Figure 2. Mean annual precipitation from 2015 - 2024 from IMERG Final Run dataset, displaying lower values in light blue and higher values dark blue.</w:t>
        </w:r>
      </w:hyperlink>
    </w:p>
    <w:p w14:paraId="5727587A"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3" w:history="1">
        <w:r w:rsidRPr="001440F0">
          <w:rPr>
            <w:rStyle w:val="Hyperlink"/>
            <w:noProof/>
          </w:rPr>
          <w:t>Figure 3. Map of Guadalcanal Island. The Geographic Coordinate System is WGS84. Sources: Esri, TomTom, FAO, NOAA, USGS.</w:t>
        </w:r>
      </w:hyperlink>
    </w:p>
    <w:p w14:paraId="1B7A161E"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4" w:history="1">
        <w:r w:rsidRPr="001440F0">
          <w:rPr>
            <w:rStyle w:val="Hyperlink"/>
            <w:noProof/>
          </w:rPr>
          <w:t>Figure 4. Monthly precipitation for years 1998 - 2025 in mm.</w:t>
        </w:r>
      </w:hyperlink>
    </w:p>
    <w:p w14:paraId="35AF2F8D"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5" w:history="1">
        <w:r w:rsidRPr="001440F0">
          <w:rPr>
            <w:rStyle w:val="Hyperlink"/>
            <w:noProof/>
          </w:rPr>
          <w:t>Figure 5. Annual precipitation for year 1998 – 2024 in mm.</w:t>
        </w:r>
      </w:hyperlink>
    </w:p>
    <w:p w14:paraId="1CC005F9"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6" w:history="1">
        <w:r w:rsidRPr="001440F0">
          <w:rPr>
            <w:rStyle w:val="Hyperlink"/>
            <w:noProof/>
          </w:rPr>
          <w:t>Figure 6. Mean monthly precipitation and actual ET in mm.</w:t>
        </w:r>
      </w:hyperlink>
    </w:p>
    <w:p w14:paraId="0DB1DB74"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7" w:history="1">
        <w:r w:rsidRPr="001440F0">
          <w:rPr>
            <w:rStyle w:val="Hyperlink"/>
            <w:noProof/>
          </w:rPr>
          <w:t>Figure 7. Annual actual ET for years 2013 - 2025 in mm.</w:t>
        </w:r>
      </w:hyperlink>
    </w:p>
    <w:p w14:paraId="7B3CBB3E"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8" w:history="1">
        <w:r w:rsidRPr="001440F0">
          <w:rPr>
            <w:rStyle w:val="Hyperlink"/>
            <w:noProof/>
          </w:rPr>
          <w:t>Figure 8. Monthly net water availability for years 2012 - 2025 in mm.</w:t>
        </w:r>
      </w:hyperlink>
    </w:p>
    <w:p w14:paraId="63E82C03"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19" w:history="1">
        <w:r w:rsidRPr="001440F0">
          <w:rPr>
            <w:rStyle w:val="Hyperlink"/>
            <w:noProof/>
          </w:rPr>
          <w:t>Figure 9. Net water availability per year in mm.</w:t>
        </w:r>
      </w:hyperlink>
    </w:p>
    <w:p w14:paraId="5CED5DE8"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0" w:history="1">
        <w:r w:rsidRPr="001440F0">
          <w:rPr>
            <w:rStyle w:val="Hyperlink"/>
            <w:noProof/>
          </w:rPr>
          <w:t>Figure 10. Building count growth for both Solomon Islands study sites across the three survey epochs. Values annotated at each data point.</w:t>
        </w:r>
      </w:hyperlink>
    </w:p>
    <w:p w14:paraId="19387FED"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1" w:history="1">
        <w:r w:rsidRPr="001440F0">
          <w:rPr>
            <w:rStyle w:val="Hyperlink"/>
            <w:noProof/>
          </w:rPr>
          <w:t>Figure 11. Absolute change in building count by survey period for both Solomon Islands study sites. The 2006–2015 period produced the larger addition at both sites.</w:t>
        </w:r>
      </w:hyperlink>
    </w:p>
    <w:p w14:paraId="27905721"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2" w:history="1">
        <w:r w:rsidRPr="001440F0">
          <w:rPr>
            <w:rStyle w:val="Hyperlink"/>
            <w:noProof/>
          </w:rPr>
          <w:t>Figure 12. Compound annual growth rates for both Solomon Islands study sites by survey period. Blue shaded band = ADB Melanesian benchmark (3–4%/yr). Red = exceeds; amber = below benchmark.</w:t>
        </w:r>
      </w:hyperlink>
    </w:p>
    <w:p w14:paraId="676B5105"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3" w:history="1">
        <w:r w:rsidRPr="001440F0">
          <w:rPr>
            <w:rStyle w:val="Hyperlink"/>
            <w:noProof/>
          </w:rPr>
          <w:t>Figure 13. Settlement density (structures per hectare) for both Solomon Islands study sites across all survey epochs. Yellow band = ADB Pacific norm (15–25 str/ha).</w:t>
        </w:r>
      </w:hyperlink>
    </w:p>
    <w:p w14:paraId="1B102A53"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4" w:history="1">
        <w:r w:rsidRPr="001440F0">
          <w:rPr>
            <w:rStyle w:val="Hyperlink"/>
            <w:noProof/>
          </w:rPr>
          <w:t>Figure 14. Built-up coverage ratio (%) for both Solomon Islands study sites by survey epoch.</w:t>
        </w:r>
      </w:hyperlink>
    </w:p>
    <w:p w14:paraId="56346F25"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5" w:history="1">
        <w:r w:rsidRPr="001440F0">
          <w:rPr>
            <w:rStyle w:val="Hyperlink"/>
            <w:noProof/>
          </w:rPr>
          <w:t>Figure 15. Median building footprint area over time for both Solomon Islands study sites. Bubble size is proportional to total building count.</w:t>
        </w:r>
      </w:hyperlink>
    </w:p>
    <w:p w14:paraId="3498B2BD"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6" w:history="1">
        <w:r w:rsidRPr="001440F0">
          <w:rPr>
            <w:rStyle w:val="Hyperlink"/>
            <w:noProof/>
          </w:rPr>
          <w:t>Figure 16. Plate tectonics of the Solomon Islands region. Single white arrows show direction of downgoing late toward Pacific plate. Double diverging arrows show spreading direction across the Woodlark Ridge that separates the Woodlark and Australian plates.</w:t>
        </w:r>
      </w:hyperlink>
    </w:p>
    <w:p w14:paraId="610DBD66"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7" w:history="1">
        <w:r w:rsidRPr="001440F0">
          <w:rPr>
            <w:rStyle w:val="Hyperlink"/>
            <w:noProof/>
          </w:rPr>
          <w:t>Figure 17. Seismotectonics of the New Guinea Region and Vicinity.</w:t>
        </w:r>
      </w:hyperlink>
    </w:p>
    <w:p w14:paraId="6727C97E"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8" w:history="1">
        <w:r w:rsidRPr="001440F0">
          <w:rPr>
            <w:rStyle w:val="Hyperlink"/>
            <w:noProof/>
          </w:rPr>
          <w:t>Figure 18. Map of New Georgia Island with cities Noro and Munda. The Geographic Coordinate System is WGS84. Sources: Esri, TomTom, FAO, NOAA, USGS.</w:t>
        </w:r>
      </w:hyperlink>
    </w:p>
    <w:p w14:paraId="7C69E600"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29" w:history="1">
        <w:r w:rsidRPr="001440F0">
          <w:rPr>
            <w:rStyle w:val="Hyperlink"/>
            <w:noProof/>
          </w:rPr>
          <w:t>Figure 19. Monthly precipitation for the years 1998 - 2025 in mm.</w:t>
        </w:r>
      </w:hyperlink>
    </w:p>
    <w:p w14:paraId="05A9782D"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0" w:history="1">
        <w:r w:rsidRPr="001440F0">
          <w:rPr>
            <w:rStyle w:val="Hyperlink"/>
            <w:noProof/>
          </w:rPr>
          <w:t>Figure 20.Annual precipitation for 1998 – 2024 in mm.</w:t>
        </w:r>
      </w:hyperlink>
    </w:p>
    <w:p w14:paraId="517418A9"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1" w:history="1">
        <w:r w:rsidRPr="001440F0">
          <w:rPr>
            <w:rStyle w:val="Hyperlink"/>
            <w:noProof/>
          </w:rPr>
          <w:t>Figure 21. Average monthly precipitation and actual ET in mm.</w:t>
        </w:r>
      </w:hyperlink>
    </w:p>
    <w:p w14:paraId="6DE2DBB7"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2" w:history="1">
        <w:r w:rsidRPr="001440F0">
          <w:rPr>
            <w:rStyle w:val="Hyperlink"/>
            <w:noProof/>
          </w:rPr>
          <w:t>Figure 22.Annual actual ET for years 2013 - 2025 in mm.</w:t>
        </w:r>
      </w:hyperlink>
    </w:p>
    <w:p w14:paraId="3313F0E5"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3" w:history="1">
        <w:r w:rsidRPr="001440F0">
          <w:rPr>
            <w:rStyle w:val="Hyperlink"/>
            <w:noProof/>
          </w:rPr>
          <w:t>Figure 23.Monthly net water availability for years 2012 - 2025 in mm.</w:t>
        </w:r>
      </w:hyperlink>
    </w:p>
    <w:p w14:paraId="1F0D4CF2"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4" w:history="1">
        <w:r w:rsidRPr="001440F0">
          <w:rPr>
            <w:rStyle w:val="Hyperlink"/>
            <w:noProof/>
          </w:rPr>
          <w:t>Figure 24.Net water availability per year in mm.</w:t>
        </w:r>
      </w:hyperlink>
    </w:p>
    <w:p w14:paraId="5C4DABE4"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5" w:history="1">
        <w:r w:rsidRPr="001440F0">
          <w:rPr>
            <w:rStyle w:val="Hyperlink"/>
            <w:noProof/>
          </w:rPr>
          <w:t>Figure 25. Quintile-based Rainfall Index time series for Munda showing (A) 1-month, (B) 3-month, and (C) 6-month accumulation windows.</w:t>
        </w:r>
      </w:hyperlink>
    </w:p>
    <w:p w14:paraId="2AC82AB6"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6" w:history="1">
        <w:r w:rsidRPr="001440F0">
          <w:rPr>
            <w:rStyle w:val="Hyperlink"/>
            <w:noProof/>
          </w:rPr>
          <w:t>Figure 26. Quintile-based Rainfall Index time series for Noro.</w:t>
        </w:r>
      </w:hyperlink>
    </w:p>
    <w:p w14:paraId="5C1B5CA3"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7" w:history="1">
        <w:r w:rsidRPr="001440F0">
          <w:rPr>
            <w:rStyle w:val="Hyperlink"/>
            <w:noProof/>
          </w:rPr>
          <w:t>Figure 27. Quintile-based Rainfall Index time series for the Noro–Munda Basin.</w:t>
        </w:r>
      </w:hyperlink>
    </w:p>
    <w:p w14:paraId="20BDAEDC" w14:textId="77777777" w:rsidR="003D1273" w:rsidRDefault="003D1273">
      <w:pPr>
        <w:pStyle w:val="TableofFigures"/>
        <w:tabs>
          <w:tab w:val="right" w:leader="dot" w:pos="9350"/>
        </w:tabs>
        <w:rPr>
          <w:rFonts w:asciiTheme="minorHAnsi" w:eastAsiaTheme="minorEastAsia" w:hAnsiTheme="minorHAnsi" w:cstheme="minorBidi"/>
          <w:noProof/>
          <w:kern w:val="2"/>
          <w14:ligatures w14:val="standardContextual"/>
        </w:rPr>
      </w:pPr>
      <w:hyperlink w:anchor="_Toc227691738" w:history="1">
        <w:r w:rsidRPr="001440F0">
          <w:rPr>
            <w:rStyle w:val="Hyperlink"/>
            <w:noProof/>
          </w:rPr>
          <w:t xml:space="preserve">Figure 28. Combined 7-day GFS precipitation forecast bar chart for the three Solomon Islands monitoring locations, March 10–16, 2026. </w:t>
        </w:r>
        <w:r w:rsidRPr="001440F0">
          <w:rPr>
            <w:rStyle w:val="Hyperlink"/>
            <w:rFonts w:eastAsia="Times New Roman"/>
            <w:noProof/>
          </w:rPr>
          <w:t>The dashed red line indicates the 50-millimeter daily alert threshold. All three sites show identical values due to their proximity within the GFS grid.</w:t>
        </w:r>
      </w:hyperlink>
    </w:p>
    <w:p w14:paraId="3038F8D2" w14:textId="27E9F900" w:rsidR="00203691" w:rsidRDefault="00203691" w:rsidP="00712B5C">
      <w:pPr>
        <w:pStyle w:val="TableofFigures"/>
        <w:tabs>
          <w:tab w:val="left" w:pos="1440"/>
          <w:tab w:val="right" w:leader="dot" w:pos="9350"/>
        </w:tabs>
      </w:pPr>
      <w:r>
        <w:rPr>
          <w:color w:val="2B579A"/>
          <w:shd w:val="clear" w:color="auto" w:fill="E6E6E6"/>
        </w:rPr>
        <w:fldChar w:fldCharType="end"/>
      </w:r>
    </w:p>
    <w:p w14:paraId="258A1C15" w14:textId="13C5A429" w:rsidR="00394A52" w:rsidRDefault="00203691" w:rsidP="009F4698">
      <w:pPr>
        <w:pStyle w:val="Head1"/>
      </w:pPr>
      <w:bookmarkStart w:id="17" w:name="_Toc228286022"/>
      <w:r>
        <w:lastRenderedPageBreak/>
        <w:t>Tables</w:t>
      </w:r>
      <w:bookmarkEnd w:id="17"/>
    </w:p>
    <w:p w14:paraId="7F29B792" w14:textId="05839F7C" w:rsidR="00394A52"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z w:val="28"/>
          <w:shd w:val="clear" w:color="auto" w:fill="E6E6E6"/>
        </w:rPr>
        <w:fldChar w:fldCharType="begin"/>
      </w:r>
      <w:r>
        <w:instrText xml:space="preserve"> TOC \f T \n \h \z \t "TableTitle" \c "Table" </w:instrText>
      </w:r>
      <w:r>
        <w:rPr>
          <w:color w:val="2B579A"/>
          <w:sz w:val="28"/>
          <w:shd w:val="clear" w:color="auto" w:fill="E6E6E6"/>
        </w:rPr>
        <w:fldChar w:fldCharType="separate"/>
      </w:r>
      <w:hyperlink w:anchor="_Toc228285966" w:history="1">
        <w:r w:rsidR="00394A52" w:rsidRPr="00DC3C37">
          <w:rPr>
            <w:rStyle w:val="Hyperlink"/>
            <w:noProof/>
          </w:rPr>
          <w:t>International System of Units to U.S. customary units</w:t>
        </w:r>
      </w:hyperlink>
    </w:p>
    <w:p w14:paraId="7E745BDD"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67" w:history="1">
        <w:r w:rsidRPr="00DC3C37">
          <w:rPr>
            <w:rStyle w:val="Hyperlink"/>
            <w:noProof/>
          </w:rPr>
          <w:t>Table 1. Mean IMERG Precipitation Statistics (1998–2024) for Honiara Basin</w:t>
        </w:r>
      </w:hyperlink>
    </w:p>
    <w:p w14:paraId="50F528FE"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68" w:history="1">
        <w:r w:rsidRPr="00DC3C37">
          <w:rPr>
            <w:rStyle w:val="Hyperlink"/>
            <w:noProof/>
          </w:rPr>
          <w:t>Table 2. Solomon Islands study site summary. Settlement areas derived from ADB-provided boundary shapefiles</w:t>
        </w:r>
      </w:hyperlink>
    </w:p>
    <w:p w14:paraId="68326DEA"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69" w:history="1">
        <w:r w:rsidRPr="00DC3C37">
          <w:rPr>
            <w:rStyle w:val="Hyperlink"/>
            <w:noProof/>
          </w:rPr>
          <w:t>Table 3. Building count summary for Solomon Islands study sites across three survey epochs</w:t>
        </w:r>
      </w:hyperlink>
    </w:p>
    <w:p w14:paraId="71AF9B72"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0" w:history="1">
        <w:r w:rsidRPr="00DC3C37">
          <w:rPr>
            <w:rStyle w:val="Hyperlink"/>
            <w:noProof/>
          </w:rPr>
          <w:t>Table 4. Compound annual growth rate (CAGR) by period for Solomon Islands study sites. ADB Melanesian benchmark: 3–4%/yr</w:t>
        </w:r>
      </w:hyperlink>
    </w:p>
    <w:p w14:paraId="78EB64C3"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1" w:history="1">
        <w:r w:rsidRPr="00DC3C37">
          <w:rPr>
            <w:rStyle w:val="Hyperlink"/>
            <w:noProof/>
          </w:rPr>
          <w:t>Table 5. Settlement density by epoch for Solomon Islands study sites. Pacific norm: 15–25 str/ha</w:t>
        </w:r>
      </w:hyperlink>
    </w:p>
    <w:p w14:paraId="798592E2"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2" w:history="1">
        <w:r w:rsidRPr="00DC3C37">
          <w:rPr>
            <w:rStyle w:val="Hyperlink"/>
            <w:noProof/>
          </w:rPr>
          <w:t>Table 6. Built-up coverage ratio and total building footprint area by epoch for Solomon Islands study sites</w:t>
        </w:r>
      </w:hyperlink>
    </w:p>
    <w:p w14:paraId="1460E6A9"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3" w:history="1">
        <w:r w:rsidRPr="00DC3C37">
          <w:rPr>
            <w:rStyle w:val="Hyperlink"/>
            <w:noProof/>
          </w:rPr>
          <w:t>Table 7. Building footprint size statistics by epoch for Solomon Islands study sites</w:t>
        </w:r>
      </w:hyperlink>
    </w:p>
    <w:p w14:paraId="647D8CED"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4" w:history="1">
        <w:r w:rsidRPr="00DC3C37">
          <w:rPr>
            <w:rStyle w:val="Hyperlink"/>
            <w:noProof/>
          </w:rPr>
          <w:t>Table 8. Mean IMERG Precipitation Statistics (1998–2024) for Noro – Munda Basin</w:t>
        </w:r>
      </w:hyperlink>
    </w:p>
    <w:p w14:paraId="3F944E64"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5" w:history="1">
        <w:r w:rsidRPr="00DC3C37">
          <w:rPr>
            <w:rStyle w:val="Hyperlink"/>
            <w:noProof/>
          </w:rPr>
          <w:t>Table 9. Summary of notable drought episodes at Munda.</w:t>
        </w:r>
      </w:hyperlink>
    </w:p>
    <w:p w14:paraId="37903A8E"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6" w:history="1">
        <w:r w:rsidRPr="00DC3C37">
          <w:rPr>
            <w:rStyle w:val="Hyperlink"/>
            <w:noProof/>
          </w:rPr>
          <w:t>Table 10. Summary of notable drought episodes at Noro.</w:t>
        </w:r>
      </w:hyperlink>
    </w:p>
    <w:p w14:paraId="33232677"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7" w:history="1">
        <w:r w:rsidRPr="00DC3C37">
          <w:rPr>
            <w:rStyle w:val="Hyperlink"/>
            <w:noProof/>
          </w:rPr>
          <w:t>Table 11. Summary of notable drought episodes at the Noro–Munda Basin.</w:t>
        </w:r>
      </w:hyperlink>
    </w:p>
    <w:p w14:paraId="668764A4"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8" w:history="1">
        <w:r w:rsidRPr="00DC3C37">
          <w:rPr>
            <w:rStyle w:val="Hyperlink"/>
            <w:noProof/>
          </w:rPr>
          <w:t>Table 12. Quintile-based Rainfall Index category frequency by location and accumulation window.</w:t>
        </w:r>
      </w:hyperlink>
    </w:p>
    <w:p w14:paraId="732CD75E"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79" w:history="1">
        <w:r w:rsidRPr="00DC3C37">
          <w:rPr>
            <w:rStyle w:val="Hyperlink"/>
            <w:rFonts w:ascii="Arial" w:hAnsi="Arial" w:cs="Arial"/>
            <w:noProof/>
          </w:rPr>
          <w:t>Table 13. PEAC 4/8-inch index frequency by location, January 2000 through February 2026</w:t>
        </w:r>
      </w:hyperlink>
    </w:p>
    <w:p w14:paraId="1A4F31A7"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80" w:history="1">
        <w:r w:rsidRPr="00DC3C37">
          <w:rPr>
            <w:rStyle w:val="Hyperlink"/>
            <w:noProof/>
          </w:rPr>
          <w:t>Table 14. Alert thresholds applied to GFS precipitation forecasts.</w:t>
        </w:r>
      </w:hyperlink>
    </w:p>
    <w:p w14:paraId="6B309AEC" w14:textId="77777777" w:rsidR="00394A52" w:rsidRDefault="00394A5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981" w:history="1">
        <w:r w:rsidRPr="00DC3C37">
          <w:rPr>
            <w:rStyle w:val="Hyperlink"/>
            <w:noProof/>
          </w:rPr>
          <w:t>Table 15. GFS 7-day precipitation forecast (millimeters) for Solomon Islands monitoring locations, March 10–16, 2026. GFS model run 20260310, 12z cycle. All three sites produced identical values due to their proximity within the GFS 0.25° grid.</w:t>
        </w:r>
      </w:hyperlink>
    </w:p>
    <w:p w14:paraId="70A0F962" w14:textId="796B4454" w:rsidR="00394A52" w:rsidRDefault="00203691" w:rsidP="0066782A">
      <w:pPr>
        <w:pStyle w:val="FrontMatterHead"/>
      </w:pPr>
      <w:r>
        <w:rPr>
          <w:color w:val="2B579A"/>
          <w:shd w:val="clear" w:color="auto" w:fill="E6E6E6"/>
        </w:rPr>
        <w:fldChar w:fldCharType="end"/>
      </w:r>
      <w:bookmarkStart w:id="18" w:name="_Toc507583980"/>
      <w:bookmarkStart w:id="19" w:name="_Toc507584034"/>
    </w:p>
    <w:p w14:paraId="10355177" w14:textId="0B5C57CD" w:rsidR="0066782A" w:rsidRDefault="0066782A" w:rsidP="0066782A">
      <w:pPr>
        <w:pStyle w:val="FrontMatterHead"/>
      </w:pPr>
      <w:r>
        <w:t>Conversion Factors</w:t>
      </w:r>
    </w:p>
    <w:p w14:paraId="6882ED2A" w14:textId="77777777" w:rsidR="0066782A" w:rsidRDefault="0066782A" w:rsidP="0066782A">
      <w:pPr>
        <w:pStyle w:val="TableTitle"/>
      </w:pPr>
      <w:bookmarkStart w:id="20" w:name="_Toc507583978"/>
      <w:bookmarkStart w:id="21" w:name="_Toc507584032"/>
      <w:bookmarkStart w:id="22" w:name="_Toc20723230"/>
      <w:bookmarkStart w:id="23" w:name="_Toc226927393"/>
      <w:bookmarkStart w:id="24" w:name="_Toc226968175"/>
      <w:bookmarkStart w:id="25" w:name="_Toc228285966"/>
      <w:r>
        <w:t>International System of Units to U.S. customary units</w:t>
      </w:r>
      <w:bookmarkEnd w:id="20"/>
      <w:bookmarkEnd w:id="21"/>
      <w:bookmarkEnd w:id="22"/>
      <w:bookmarkEnd w:id="23"/>
      <w:bookmarkEnd w:id="24"/>
      <w:bookmarkEnd w:id="25"/>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66782A" w:rsidRPr="00BA340B" w14:paraId="399AE968" w14:textId="77777777">
        <w:trPr>
          <w:cantSplit/>
          <w:tblHeader/>
        </w:trPr>
        <w:tc>
          <w:tcPr>
            <w:tcW w:w="2558" w:type="dxa"/>
            <w:tcBorders>
              <w:bottom w:val="single" w:sz="4" w:space="0" w:color="auto"/>
              <w:tl2br w:val="nil"/>
            </w:tcBorders>
            <w:vAlign w:val="center"/>
          </w:tcPr>
          <w:p w14:paraId="01D1412C" w14:textId="77777777" w:rsidR="0066782A" w:rsidRPr="00BA340B" w:rsidRDefault="0066782A">
            <w:pPr>
              <w:pStyle w:val="TableHead"/>
            </w:pPr>
            <w:r w:rsidRPr="00BA340B">
              <w:t>Multiply</w:t>
            </w:r>
          </w:p>
        </w:tc>
        <w:tc>
          <w:tcPr>
            <w:tcW w:w="2558" w:type="dxa"/>
            <w:tcBorders>
              <w:bottom w:val="single" w:sz="4" w:space="0" w:color="auto"/>
              <w:tl2br w:val="nil"/>
            </w:tcBorders>
            <w:vAlign w:val="center"/>
          </w:tcPr>
          <w:p w14:paraId="53BDF173" w14:textId="77777777" w:rsidR="0066782A" w:rsidRPr="00BA340B" w:rsidRDefault="0066782A">
            <w:pPr>
              <w:pStyle w:val="TableHead"/>
              <w:tabs>
                <w:tab w:val="decimal" w:pos="495"/>
              </w:tabs>
            </w:pPr>
            <w:r w:rsidRPr="00BA340B">
              <w:t>By</w:t>
            </w:r>
          </w:p>
        </w:tc>
        <w:tc>
          <w:tcPr>
            <w:tcW w:w="2559" w:type="dxa"/>
            <w:tcBorders>
              <w:bottom w:val="single" w:sz="4" w:space="0" w:color="auto"/>
              <w:tl2br w:val="nil"/>
            </w:tcBorders>
            <w:vAlign w:val="center"/>
          </w:tcPr>
          <w:p w14:paraId="38E4B906" w14:textId="77777777" w:rsidR="0066782A" w:rsidRPr="00BA340B" w:rsidRDefault="0066782A">
            <w:pPr>
              <w:pStyle w:val="TableHead"/>
            </w:pPr>
            <w:r w:rsidRPr="00BA340B">
              <w:t>To obtain</w:t>
            </w:r>
          </w:p>
        </w:tc>
      </w:tr>
      <w:tr w:rsidR="0066782A" w:rsidRPr="00BA340B" w14:paraId="1A7C81C0" w14:textId="77777777">
        <w:trPr>
          <w:cantSplit/>
        </w:trPr>
        <w:tc>
          <w:tcPr>
            <w:tcW w:w="7675" w:type="dxa"/>
            <w:gridSpan w:val="3"/>
            <w:tcBorders>
              <w:top w:val="single" w:sz="4" w:space="0" w:color="auto"/>
              <w:bottom w:val="single" w:sz="4" w:space="0" w:color="auto"/>
            </w:tcBorders>
            <w:vAlign w:val="center"/>
          </w:tcPr>
          <w:p w14:paraId="06F9068A" w14:textId="77777777" w:rsidR="0066782A" w:rsidRPr="002E2E3D" w:rsidRDefault="0066782A">
            <w:pPr>
              <w:pStyle w:val="TableSpanner"/>
              <w:tabs>
                <w:tab w:val="decimal" w:pos="495"/>
              </w:tabs>
            </w:pPr>
            <w:r w:rsidRPr="002E2E3D">
              <w:t>Length</w:t>
            </w:r>
          </w:p>
        </w:tc>
      </w:tr>
      <w:tr w:rsidR="0066782A" w:rsidRPr="00BA340B" w14:paraId="7511ADCA" w14:textId="77777777">
        <w:trPr>
          <w:cantSplit/>
        </w:trPr>
        <w:tc>
          <w:tcPr>
            <w:tcW w:w="2558" w:type="dxa"/>
            <w:tcBorders>
              <w:top w:val="nil"/>
              <w:bottom w:val="nil"/>
            </w:tcBorders>
          </w:tcPr>
          <w:p w14:paraId="358A5D45" w14:textId="77777777" w:rsidR="0066782A" w:rsidRPr="00BA340B" w:rsidRDefault="0066782A">
            <w:pPr>
              <w:pStyle w:val="TableBody"/>
            </w:pPr>
            <w:proofErr w:type="gramStart"/>
            <w:r w:rsidRPr="00BA340B">
              <w:t>millimeter</w:t>
            </w:r>
            <w:proofErr w:type="gramEnd"/>
            <w:r w:rsidRPr="00BA340B">
              <w:t xml:space="preserve"> (mm)</w:t>
            </w:r>
          </w:p>
        </w:tc>
        <w:tc>
          <w:tcPr>
            <w:tcW w:w="2558" w:type="dxa"/>
            <w:tcBorders>
              <w:top w:val="nil"/>
              <w:bottom w:val="nil"/>
            </w:tcBorders>
          </w:tcPr>
          <w:p w14:paraId="1828F497" w14:textId="77777777" w:rsidR="0066782A" w:rsidRPr="00BA340B" w:rsidRDefault="0066782A">
            <w:pPr>
              <w:pStyle w:val="TableBody"/>
            </w:pPr>
            <w:r w:rsidRPr="00BA340B">
              <w:t>0.03937</w:t>
            </w:r>
          </w:p>
        </w:tc>
        <w:tc>
          <w:tcPr>
            <w:tcW w:w="2559" w:type="dxa"/>
            <w:tcBorders>
              <w:top w:val="nil"/>
              <w:bottom w:val="nil"/>
            </w:tcBorders>
          </w:tcPr>
          <w:p w14:paraId="763BF422" w14:textId="77777777" w:rsidR="0066782A" w:rsidRPr="00BA340B" w:rsidRDefault="0066782A">
            <w:pPr>
              <w:pStyle w:val="TableBody"/>
            </w:pPr>
            <w:r w:rsidRPr="00BA340B">
              <w:t>inch (in.)</w:t>
            </w:r>
          </w:p>
        </w:tc>
      </w:tr>
      <w:tr w:rsidR="0066782A" w:rsidRPr="00BA340B" w14:paraId="5A85AF61" w14:textId="77777777">
        <w:trPr>
          <w:cantSplit/>
        </w:trPr>
        <w:tc>
          <w:tcPr>
            <w:tcW w:w="2558" w:type="dxa"/>
            <w:tcBorders>
              <w:top w:val="nil"/>
              <w:bottom w:val="nil"/>
            </w:tcBorders>
          </w:tcPr>
          <w:p w14:paraId="42451EE3" w14:textId="77777777" w:rsidR="0066782A" w:rsidRPr="00BA340B" w:rsidRDefault="0066782A">
            <w:pPr>
              <w:pStyle w:val="TableBody"/>
            </w:pPr>
            <w:r w:rsidRPr="00BA340B">
              <w:t>meter (m)</w:t>
            </w:r>
          </w:p>
        </w:tc>
        <w:tc>
          <w:tcPr>
            <w:tcW w:w="2558" w:type="dxa"/>
            <w:tcBorders>
              <w:top w:val="nil"/>
              <w:bottom w:val="nil"/>
            </w:tcBorders>
          </w:tcPr>
          <w:p w14:paraId="70BEB1B8" w14:textId="77777777" w:rsidR="0066782A" w:rsidRPr="00BA340B" w:rsidRDefault="0066782A">
            <w:pPr>
              <w:pStyle w:val="TableBody"/>
            </w:pPr>
            <w:r w:rsidRPr="00BA340B">
              <w:t>3.281</w:t>
            </w:r>
          </w:p>
        </w:tc>
        <w:tc>
          <w:tcPr>
            <w:tcW w:w="2559" w:type="dxa"/>
            <w:tcBorders>
              <w:top w:val="nil"/>
              <w:bottom w:val="nil"/>
            </w:tcBorders>
          </w:tcPr>
          <w:p w14:paraId="5EB4D614" w14:textId="77777777" w:rsidR="0066782A" w:rsidRPr="00BA340B" w:rsidRDefault="0066782A">
            <w:pPr>
              <w:pStyle w:val="TableBody"/>
            </w:pPr>
            <w:r w:rsidRPr="00BA340B">
              <w:t xml:space="preserve">foot (ft) </w:t>
            </w:r>
          </w:p>
        </w:tc>
      </w:tr>
      <w:tr w:rsidR="0066782A" w:rsidRPr="00BA340B" w14:paraId="23A11C4C" w14:textId="77777777">
        <w:trPr>
          <w:cantSplit/>
        </w:trPr>
        <w:tc>
          <w:tcPr>
            <w:tcW w:w="2558" w:type="dxa"/>
            <w:tcBorders>
              <w:top w:val="nil"/>
              <w:bottom w:val="nil"/>
            </w:tcBorders>
          </w:tcPr>
          <w:p w14:paraId="55A60E94" w14:textId="77777777" w:rsidR="0066782A" w:rsidRPr="00BA340B" w:rsidRDefault="0066782A">
            <w:pPr>
              <w:pStyle w:val="TableBody"/>
            </w:pPr>
            <w:r w:rsidRPr="00BA340B">
              <w:t>kilometer (km)</w:t>
            </w:r>
          </w:p>
        </w:tc>
        <w:tc>
          <w:tcPr>
            <w:tcW w:w="2558" w:type="dxa"/>
            <w:tcBorders>
              <w:top w:val="nil"/>
              <w:bottom w:val="nil"/>
            </w:tcBorders>
          </w:tcPr>
          <w:p w14:paraId="5E8A24A5" w14:textId="77777777" w:rsidR="0066782A" w:rsidRPr="00BA340B" w:rsidRDefault="0066782A">
            <w:pPr>
              <w:pStyle w:val="TableBody"/>
            </w:pPr>
            <w:r w:rsidRPr="00BA340B">
              <w:t>0.6214</w:t>
            </w:r>
          </w:p>
        </w:tc>
        <w:tc>
          <w:tcPr>
            <w:tcW w:w="2559" w:type="dxa"/>
            <w:tcBorders>
              <w:top w:val="nil"/>
              <w:bottom w:val="nil"/>
            </w:tcBorders>
          </w:tcPr>
          <w:p w14:paraId="74ACC8D2" w14:textId="77777777" w:rsidR="0066782A" w:rsidRPr="00BA340B" w:rsidRDefault="0066782A">
            <w:pPr>
              <w:pStyle w:val="TableBody"/>
            </w:pPr>
            <w:r w:rsidRPr="00BA340B">
              <w:t>mile (mi)</w:t>
            </w:r>
          </w:p>
        </w:tc>
      </w:tr>
      <w:tr w:rsidR="0066782A" w:rsidRPr="00BA340B" w14:paraId="58F1CBCC" w14:textId="77777777">
        <w:trPr>
          <w:cantSplit/>
        </w:trPr>
        <w:tc>
          <w:tcPr>
            <w:tcW w:w="7675" w:type="dxa"/>
            <w:gridSpan w:val="3"/>
            <w:tcBorders>
              <w:bottom w:val="single" w:sz="4" w:space="0" w:color="auto"/>
            </w:tcBorders>
            <w:vAlign w:val="center"/>
          </w:tcPr>
          <w:p w14:paraId="76C75AC2" w14:textId="77777777" w:rsidR="0066782A" w:rsidRPr="002E2E3D" w:rsidRDefault="0066782A">
            <w:pPr>
              <w:pStyle w:val="TableSpanner"/>
              <w:tabs>
                <w:tab w:val="decimal" w:pos="495"/>
              </w:tabs>
            </w:pPr>
            <w:r w:rsidRPr="002E2E3D">
              <w:t>Area</w:t>
            </w:r>
          </w:p>
        </w:tc>
      </w:tr>
      <w:tr w:rsidR="0066782A" w:rsidRPr="00BA340B" w14:paraId="3CE06F37" w14:textId="77777777">
        <w:trPr>
          <w:cantSplit/>
        </w:trPr>
        <w:tc>
          <w:tcPr>
            <w:tcW w:w="2558" w:type="dxa"/>
            <w:tcBorders>
              <w:bottom w:val="nil"/>
            </w:tcBorders>
          </w:tcPr>
          <w:p w14:paraId="4F242CBF" w14:textId="77777777" w:rsidR="0066782A" w:rsidRPr="00BA340B" w:rsidRDefault="0066782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bottom w:val="nil"/>
            </w:tcBorders>
          </w:tcPr>
          <w:p w14:paraId="39D57AD9" w14:textId="77777777" w:rsidR="0066782A" w:rsidRPr="00BA340B" w:rsidRDefault="0066782A">
            <w:pPr>
              <w:pStyle w:val="TableBody"/>
            </w:pPr>
            <w:r w:rsidRPr="00BA340B">
              <w:t>0.0002471</w:t>
            </w:r>
          </w:p>
        </w:tc>
        <w:tc>
          <w:tcPr>
            <w:tcW w:w="2559" w:type="dxa"/>
            <w:tcBorders>
              <w:bottom w:val="nil"/>
            </w:tcBorders>
          </w:tcPr>
          <w:p w14:paraId="4DD69A0B" w14:textId="77777777" w:rsidR="0066782A" w:rsidRPr="00BA340B" w:rsidRDefault="0066782A">
            <w:pPr>
              <w:pStyle w:val="TableBody"/>
            </w:pPr>
            <w:r w:rsidRPr="00BA340B">
              <w:t xml:space="preserve">acre </w:t>
            </w:r>
          </w:p>
        </w:tc>
      </w:tr>
      <w:tr w:rsidR="0066782A" w:rsidRPr="00BA340B" w14:paraId="6F20E67E" w14:textId="77777777">
        <w:trPr>
          <w:cantSplit/>
        </w:trPr>
        <w:tc>
          <w:tcPr>
            <w:tcW w:w="2558" w:type="dxa"/>
            <w:tcBorders>
              <w:top w:val="nil"/>
              <w:bottom w:val="nil"/>
            </w:tcBorders>
          </w:tcPr>
          <w:p w14:paraId="091754F2" w14:textId="77777777" w:rsidR="0066782A" w:rsidRPr="00BA340B" w:rsidRDefault="0066782A">
            <w:pPr>
              <w:pStyle w:val="TableBody"/>
            </w:pPr>
            <w:r w:rsidRPr="00BA340B">
              <w:t>hectare (ha)</w:t>
            </w:r>
          </w:p>
        </w:tc>
        <w:tc>
          <w:tcPr>
            <w:tcW w:w="2558" w:type="dxa"/>
            <w:tcBorders>
              <w:top w:val="nil"/>
              <w:bottom w:val="nil"/>
            </w:tcBorders>
          </w:tcPr>
          <w:p w14:paraId="5F2271B9" w14:textId="77777777" w:rsidR="0066782A" w:rsidRPr="00BA340B" w:rsidRDefault="0066782A">
            <w:pPr>
              <w:pStyle w:val="TableBody"/>
            </w:pPr>
            <w:r w:rsidRPr="00BA340B">
              <w:t>2.471</w:t>
            </w:r>
          </w:p>
        </w:tc>
        <w:tc>
          <w:tcPr>
            <w:tcW w:w="2559" w:type="dxa"/>
            <w:tcBorders>
              <w:top w:val="nil"/>
              <w:bottom w:val="nil"/>
            </w:tcBorders>
          </w:tcPr>
          <w:p w14:paraId="4771ADAF" w14:textId="77777777" w:rsidR="0066782A" w:rsidRPr="00BA340B" w:rsidRDefault="0066782A">
            <w:pPr>
              <w:pStyle w:val="TableBody"/>
            </w:pPr>
            <w:r w:rsidRPr="00BA340B">
              <w:t>acre</w:t>
            </w:r>
          </w:p>
        </w:tc>
      </w:tr>
      <w:tr w:rsidR="0066782A" w:rsidRPr="00BA340B" w14:paraId="2E37EAFA" w14:textId="77777777">
        <w:trPr>
          <w:cantSplit/>
        </w:trPr>
        <w:tc>
          <w:tcPr>
            <w:tcW w:w="2558" w:type="dxa"/>
            <w:tcBorders>
              <w:top w:val="nil"/>
              <w:bottom w:val="nil"/>
            </w:tcBorders>
          </w:tcPr>
          <w:p w14:paraId="5C375A65" w14:textId="77777777" w:rsidR="0066782A" w:rsidRPr="00BA340B" w:rsidRDefault="0066782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5293C0D0" w14:textId="77777777" w:rsidR="0066782A" w:rsidRPr="00BA340B" w:rsidRDefault="0066782A">
            <w:pPr>
              <w:pStyle w:val="TableBody"/>
            </w:pPr>
            <w:r w:rsidRPr="00BA340B">
              <w:t>2.471</w:t>
            </w:r>
          </w:p>
        </w:tc>
        <w:tc>
          <w:tcPr>
            <w:tcW w:w="2559" w:type="dxa"/>
            <w:tcBorders>
              <w:top w:val="nil"/>
              <w:bottom w:val="nil"/>
            </w:tcBorders>
          </w:tcPr>
          <w:p w14:paraId="0958C987" w14:textId="77777777" w:rsidR="0066782A" w:rsidRPr="00BA340B" w:rsidRDefault="0066782A">
            <w:pPr>
              <w:pStyle w:val="TableBody"/>
            </w:pPr>
            <w:r w:rsidRPr="00BA340B">
              <w:t>acre</w:t>
            </w:r>
          </w:p>
        </w:tc>
      </w:tr>
      <w:tr w:rsidR="0066782A" w:rsidRPr="00BA340B" w14:paraId="167CB938" w14:textId="77777777">
        <w:trPr>
          <w:cantSplit/>
        </w:trPr>
        <w:tc>
          <w:tcPr>
            <w:tcW w:w="2558" w:type="dxa"/>
            <w:tcBorders>
              <w:top w:val="nil"/>
              <w:bottom w:val="nil"/>
            </w:tcBorders>
          </w:tcPr>
          <w:p w14:paraId="323E55BC" w14:textId="77777777" w:rsidR="0066782A" w:rsidRPr="00BA340B" w:rsidRDefault="0066782A">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1C6BC9C4" w14:textId="77777777" w:rsidR="0066782A" w:rsidRPr="00BA340B" w:rsidRDefault="0066782A">
            <w:pPr>
              <w:pStyle w:val="TableBody"/>
            </w:pPr>
            <w:r w:rsidRPr="00BA340B">
              <w:t>247.1</w:t>
            </w:r>
          </w:p>
        </w:tc>
        <w:tc>
          <w:tcPr>
            <w:tcW w:w="2559" w:type="dxa"/>
            <w:tcBorders>
              <w:top w:val="nil"/>
              <w:bottom w:val="nil"/>
            </w:tcBorders>
          </w:tcPr>
          <w:p w14:paraId="6E282E14" w14:textId="77777777" w:rsidR="0066782A" w:rsidRPr="00BA340B" w:rsidRDefault="0066782A">
            <w:pPr>
              <w:pStyle w:val="TableBody"/>
            </w:pPr>
            <w:r w:rsidRPr="00BA340B">
              <w:t>acre</w:t>
            </w:r>
          </w:p>
        </w:tc>
      </w:tr>
      <w:tr w:rsidR="0066782A" w:rsidRPr="00BA340B" w14:paraId="22DE1E52" w14:textId="77777777">
        <w:trPr>
          <w:cantSplit/>
        </w:trPr>
        <w:tc>
          <w:tcPr>
            <w:tcW w:w="2558" w:type="dxa"/>
            <w:tcBorders>
              <w:top w:val="nil"/>
              <w:bottom w:val="nil"/>
            </w:tcBorders>
          </w:tcPr>
          <w:p w14:paraId="49DA47E0" w14:textId="77777777" w:rsidR="0066782A" w:rsidRPr="00BA340B" w:rsidRDefault="0066782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56042E7F" w14:textId="77777777" w:rsidR="0066782A" w:rsidRPr="00BA340B" w:rsidRDefault="0066782A">
            <w:pPr>
              <w:pStyle w:val="TableBody"/>
            </w:pPr>
            <w:r w:rsidRPr="00BA340B">
              <w:t>0.001076</w:t>
            </w:r>
          </w:p>
        </w:tc>
        <w:tc>
          <w:tcPr>
            <w:tcW w:w="2559" w:type="dxa"/>
            <w:tcBorders>
              <w:top w:val="nil"/>
              <w:bottom w:val="nil"/>
            </w:tcBorders>
          </w:tcPr>
          <w:p w14:paraId="79789AF8" w14:textId="77777777" w:rsidR="0066782A" w:rsidRPr="00BA340B" w:rsidRDefault="0066782A">
            <w:pPr>
              <w:pStyle w:val="TableBody"/>
            </w:pPr>
            <w:r w:rsidRPr="00BA340B">
              <w:t>square foot (ft</w:t>
            </w:r>
            <w:r w:rsidRPr="0003326A">
              <w:rPr>
                <w:vertAlign w:val="superscript"/>
              </w:rPr>
              <w:t>2</w:t>
            </w:r>
            <w:r w:rsidRPr="00BA340B">
              <w:t>)</w:t>
            </w:r>
          </w:p>
        </w:tc>
      </w:tr>
      <w:tr w:rsidR="0066782A" w:rsidRPr="00BA340B" w14:paraId="7E1B542F" w14:textId="77777777">
        <w:trPr>
          <w:cantSplit/>
        </w:trPr>
        <w:tc>
          <w:tcPr>
            <w:tcW w:w="2558" w:type="dxa"/>
            <w:tcBorders>
              <w:top w:val="nil"/>
              <w:bottom w:val="nil"/>
            </w:tcBorders>
          </w:tcPr>
          <w:p w14:paraId="3E3DFDF1" w14:textId="77777777" w:rsidR="0066782A" w:rsidRPr="00BA340B" w:rsidRDefault="0066782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top w:val="nil"/>
              <w:bottom w:val="nil"/>
            </w:tcBorders>
          </w:tcPr>
          <w:p w14:paraId="6B43CB55" w14:textId="77777777" w:rsidR="0066782A" w:rsidRPr="00BA340B" w:rsidRDefault="0066782A">
            <w:pPr>
              <w:pStyle w:val="TableBody"/>
            </w:pPr>
            <w:r w:rsidRPr="00BA340B">
              <w:t>10.76</w:t>
            </w:r>
          </w:p>
        </w:tc>
        <w:tc>
          <w:tcPr>
            <w:tcW w:w="2559" w:type="dxa"/>
            <w:tcBorders>
              <w:top w:val="nil"/>
              <w:bottom w:val="nil"/>
            </w:tcBorders>
          </w:tcPr>
          <w:p w14:paraId="22DC7258" w14:textId="77777777" w:rsidR="0066782A" w:rsidRPr="00BA340B" w:rsidRDefault="0066782A">
            <w:pPr>
              <w:pStyle w:val="TableBody"/>
            </w:pPr>
            <w:r w:rsidRPr="00BA340B">
              <w:t>square foot (ft</w:t>
            </w:r>
            <w:r w:rsidRPr="0003326A">
              <w:rPr>
                <w:vertAlign w:val="superscript"/>
              </w:rPr>
              <w:t>2</w:t>
            </w:r>
            <w:r w:rsidRPr="00BA340B">
              <w:t xml:space="preserve">) </w:t>
            </w:r>
          </w:p>
        </w:tc>
      </w:tr>
      <w:tr w:rsidR="0066782A" w:rsidRPr="00BA340B" w14:paraId="7C95FDD8" w14:textId="77777777">
        <w:trPr>
          <w:cantSplit/>
        </w:trPr>
        <w:tc>
          <w:tcPr>
            <w:tcW w:w="2558" w:type="dxa"/>
            <w:tcBorders>
              <w:top w:val="nil"/>
              <w:bottom w:val="nil"/>
            </w:tcBorders>
          </w:tcPr>
          <w:p w14:paraId="79799472" w14:textId="77777777" w:rsidR="0066782A" w:rsidRPr="00BA340B" w:rsidRDefault="0066782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4840BF8B" w14:textId="77777777" w:rsidR="0066782A" w:rsidRPr="00BA340B" w:rsidRDefault="0066782A">
            <w:pPr>
              <w:pStyle w:val="TableBody"/>
            </w:pPr>
            <w:r w:rsidRPr="00BA340B">
              <w:t>0.1550</w:t>
            </w:r>
          </w:p>
        </w:tc>
        <w:tc>
          <w:tcPr>
            <w:tcW w:w="2559" w:type="dxa"/>
            <w:tcBorders>
              <w:top w:val="nil"/>
              <w:bottom w:val="nil"/>
            </w:tcBorders>
          </w:tcPr>
          <w:p w14:paraId="77010126" w14:textId="77777777" w:rsidR="0066782A" w:rsidRPr="00BA340B" w:rsidRDefault="0066782A">
            <w:pPr>
              <w:pStyle w:val="TableBody"/>
            </w:pPr>
            <w:r w:rsidRPr="00BA340B">
              <w:t>square inch (</w:t>
            </w:r>
            <w:r>
              <w:t>in</w:t>
            </w:r>
            <w:r w:rsidRPr="0003326A">
              <w:rPr>
                <w:vertAlign w:val="superscript"/>
              </w:rPr>
              <w:t>2</w:t>
            </w:r>
            <w:r w:rsidRPr="00BA340B">
              <w:t xml:space="preserve">) </w:t>
            </w:r>
          </w:p>
        </w:tc>
      </w:tr>
      <w:tr w:rsidR="0066782A" w:rsidRPr="00BA340B" w14:paraId="4F1EC020" w14:textId="77777777">
        <w:trPr>
          <w:cantSplit/>
        </w:trPr>
        <w:tc>
          <w:tcPr>
            <w:tcW w:w="2558" w:type="dxa"/>
            <w:tcBorders>
              <w:top w:val="nil"/>
              <w:bottom w:val="nil"/>
            </w:tcBorders>
          </w:tcPr>
          <w:p w14:paraId="21384F2B" w14:textId="77777777" w:rsidR="0066782A" w:rsidRPr="00BA340B" w:rsidRDefault="0066782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0841D64D" w14:textId="77777777" w:rsidR="0066782A" w:rsidRPr="00BA340B" w:rsidRDefault="0066782A">
            <w:pPr>
              <w:pStyle w:val="TableBody"/>
            </w:pPr>
            <w:r w:rsidRPr="00BA340B">
              <w:t>0.003861</w:t>
            </w:r>
          </w:p>
        </w:tc>
        <w:tc>
          <w:tcPr>
            <w:tcW w:w="2559" w:type="dxa"/>
            <w:tcBorders>
              <w:top w:val="nil"/>
              <w:bottom w:val="nil"/>
            </w:tcBorders>
          </w:tcPr>
          <w:p w14:paraId="60C70BDB" w14:textId="77777777" w:rsidR="0066782A" w:rsidRPr="00BA340B" w:rsidRDefault="0066782A">
            <w:pPr>
              <w:pStyle w:val="TableBody"/>
            </w:pPr>
            <w:r w:rsidRPr="00BA340B">
              <w:t>section (640 acres or 1 square mile)</w:t>
            </w:r>
          </w:p>
        </w:tc>
      </w:tr>
      <w:tr w:rsidR="0066782A" w:rsidRPr="00BA340B" w14:paraId="20E06EFB" w14:textId="77777777">
        <w:trPr>
          <w:cantSplit/>
        </w:trPr>
        <w:tc>
          <w:tcPr>
            <w:tcW w:w="2558" w:type="dxa"/>
            <w:tcBorders>
              <w:top w:val="nil"/>
              <w:bottom w:val="nil"/>
            </w:tcBorders>
          </w:tcPr>
          <w:p w14:paraId="69BD7738" w14:textId="77777777" w:rsidR="0066782A" w:rsidRPr="00BA340B" w:rsidRDefault="0066782A">
            <w:pPr>
              <w:pStyle w:val="TableBody"/>
            </w:pPr>
            <w:r w:rsidRPr="00BA340B">
              <w:t>hectare (ha)</w:t>
            </w:r>
          </w:p>
        </w:tc>
        <w:tc>
          <w:tcPr>
            <w:tcW w:w="2558" w:type="dxa"/>
            <w:tcBorders>
              <w:top w:val="nil"/>
              <w:bottom w:val="nil"/>
            </w:tcBorders>
          </w:tcPr>
          <w:p w14:paraId="24939941" w14:textId="77777777" w:rsidR="0066782A" w:rsidRPr="00BA340B" w:rsidRDefault="0066782A">
            <w:pPr>
              <w:pStyle w:val="TableBody"/>
            </w:pPr>
            <w:r w:rsidRPr="00BA340B">
              <w:t>0.003861</w:t>
            </w:r>
          </w:p>
        </w:tc>
        <w:tc>
          <w:tcPr>
            <w:tcW w:w="2559" w:type="dxa"/>
            <w:tcBorders>
              <w:top w:val="nil"/>
              <w:bottom w:val="nil"/>
            </w:tcBorders>
          </w:tcPr>
          <w:p w14:paraId="4D6B1A65" w14:textId="77777777" w:rsidR="0066782A" w:rsidRPr="00BA340B" w:rsidRDefault="0066782A">
            <w:pPr>
              <w:pStyle w:val="TableBody"/>
            </w:pPr>
            <w:r w:rsidRPr="00BA340B">
              <w:t>square mile (mi</w:t>
            </w:r>
            <w:r w:rsidRPr="0003326A">
              <w:rPr>
                <w:vertAlign w:val="superscript"/>
              </w:rPr>
              <w:t>2</w:t>
            </w:r>
            <w:r w:rsidRPr="00BA340B">
              <w:t xml:space="preserve">) </w:t>
            </w:r>
          </w:p>
        </w:tc>
      </w:tr>
      <w:tr w:rsidR="0066782A" w:rsidRPr="00BA340B" w14:paraId="40CC4FF1" w14:textId="77777777">
        <w:trPr>
          <w:cantSplit/>
        </w:trPr>
        <w:tc>
          <w:tcPr>
            <w:tcW w:w="2558" w:type="dxa"/>
            <w:tcBorders>
              <w:top w:val="nil"/>
            </w:tcBorders>
          </w:tcPr>
          <w:p w14:paraId="5D0E684D" w14:textId="77777777" w:rsidR="0066782A" w:rsidRPr="00BA340B" w:rsidRDefault="0066782A">
            <w:pPr>
              <w:pStyle w:val="TableBody"/>
            </w:pPr>
            <w:r w:rsidRPr="00BA340B">
              <w:lastRenderedPageBreak/>
              <w:t>square kilometer (km</w:t>
            </w:r>
            <w:r w:rsidRPr="0003326A">
              <w:rPr>
                <w:vertAlign w:val="superscript"/>
              </w:rPr>
              <w:t>2</w:t>
            </w:r>
            <w:r w:rsidRPr="00BA340B">
              <w:t>)</w:t>
            </w:r>
          </w:p>
        </w:tc>
        <w:tc>
          <w:tcPr>
            <w:tcW w:w="2558" w:type="dxa"/>
            <w:tcBorders>
              <w:top w:val="nil"/>
            </w:tcBorders>
          </w:tcPr>
          <w:p w14:paraId="0CC43901" w14:textId="77777777" w:rsidR="0066782A" w:rsidRPr="00BA340B" w:rsidRDefault="0066782A">
            <w:pPr>
              <w:pStyle w:val="TableBody"/>
            </w:pPr>
            <w:r w:rsidRPr="00BA340B">
              <w:t>0.3861</w:t>
            </w:r>
          </w:p>
        </w:tc>
        <w:tc>
          <w:tcPr>
            <w:tcW w:w="2559" w:type="dxa"/>
            <w:tcBorders>
              <w:top w:val="nil"/>
            </w:tcBorders>
          </w:tcPr>
          <w:p w14:paraId="5ECB8579" w14:textId="77777777" w:rsidR="0066782A" w:rsidRPr="00BA340B" w:rsidRDefault="0066782A">
            <w:pPr>
              <w:pStyle w:val="TableBody"/>
            </w:pPr>
            <w:r w:rsidRPr="00BA340B">
              <w:t>square mile (mi</w:t>
            </w:r>
            <w:r w:rsidRPr="0003326A">
              <w:rPr>
                <w:vertAlign w:val="superscript"/>
              </w:rPr>
              <w:t>2</w:t>
            </w:r>
            <w:r w:rsidRPr="00BA340B">
              <w:t>)</w:t>
            </w:r>
          </w:p>
        </w:tc>
      </w:tr>
      <w:tr w:rsidR="0066782A" w:rsidRPr="00BA340B" w14:paraId="6FEB4A9C" w14:textId="77777777">
        <w:trPr>
          <w:cantSplit/>
        </w:trPr>
        <w:tc>
          <w:tcPr>
            <w:tcW w:w="2558" w:type="dxa"/>
            <w:tcBorders>
              <w:top w:val="nil"/>
              <w:bottom w:val="nil"/>
            </w:tcBorders>
          </w:tcPr>
          <w:p w14:paraId="7923BA59" w14:textId="77777777" w:rsidR="0066782A" w:rsidRPr="00BA340B" w:rsidRDefault="0066782A">
            <w:pPr>
              <w:pStyle w:val="TableBody"/>
            </w:pPr>
          </w:p>
        </w:tc>
        <w:tc>
          <w:tcPr>
            <w:tcW w:w="2558" w:type="dxa"/>
            <w:tcBorders>
              <w:top w:val="nil"/>
              <w:bottom w:val="nil"/>
            </w:tcBorders>
          </w:tcPr>
          <w:p w14:paraId="6AB0D474" w14:textId="77777777" w:rsidR="0066782A" w:rsidRPr="00BA340B" w:rsidRDefault="0066782A">
            <w:pPr>
              <w:pStyle w:val="TableBody"/>
            </w:pPr>
          </w:p>
        </w:tc>
        <w:tc>
          <w:tcPr>
            <w:tcW w:w="2559" w:type="dxa"/>
            <w:tcBorders>
              <w:top w:val="nil"/>
              <w:bottom w:val="nil"/>
            </w:tcBorders>
          </w:tcPr>
          <w:p w14:paraId="1CD3442E" w14:textId="77777777" w:rsidR="0066782A" w:rsidRPr="00BA340B" w:rsidRDefault="0066782A">
            <w:pPr>
              <w:pStyle w:val="TableBody"/>
            </w:pPr>
          </w:p>
        </w:tc>
      </w:tr>
    </w:tbl>
    <w:p w14:paraId="309A41D4" w14:textId="77777777" w:rsidR="0066782A" w:rsidRDefault="0066782A" w:rsidP="0066782A">
      <w:pPr>
        <w:pStyle w:val="FrontMatterHead"/>
      </w:pPr>
      <w:bookmarkStart w:id="26" w:name="_Toc507583979"/>
      <w:bookmarkStart w:id="27" w:name="_Toc507584033"/>
    </w:p>
    <w:bookmarkEnd w:id="26"/>
    <w:bookmarkEnd w:id="27"/>
    <w:p w14:paraId="28DC1EEF" w14:textId="77777777" w:rsidR="0066782A" w:rsidRDefault="0066782A" w:rsidP="0066782A">
      <w:pPr>
        <w:pStyle w:val="DefListTitleFront"/>
      </w:pPr>
      <w:r>
        <w:t>Abbreviations</w:t>
      </w:r>
    </w:p>
    <w:p w14:paraId="1F9B8427" w14:textId="77777777" w:rsidR="0066782A" w:rsidRDefault="0066782A" w:rsidP="0066782A">
      <w:pPr>
        <w:pStyle w:val="DefListItem"/>
      </w:pPr>
      <w:r>
        <w:t>ADB</w:t>
      </w:r>
      <w:r>
        <w:tab/>
        <w:t>Asian Development Bank</w:t>
      </w:r>
    </w:p>
    <w:p w14:paraId="2C299107" w14:textId="77777777" w:rsidR="0066782A" w:rsidRDefault="0066782A" w:rsidP="0066782A">
      <w:pPr>
        <w:pStyle w:val="DefListItem"/>
      </w:pPr>
      <w:r>
        <w:t>FSM</w:t>
      </w:r>
      <w:r>
        <w:tab/>
        <w:t>Federated States of Micronesia</w:t>
      </w:r>
    </w:p>
    <w:p w14:paraId="51AD909C" w14:textId="77777777" w:rsidR="0066782A" w:rsidRDefault="0066782A" w:rsidP="0066782A">
      <w:pPr>
        <w:pStyle w:val="DefListItem"/>
      </w:pPr>
      <w:r>
        <w:t>USGS</w:t>
      </w:r>
      <w:r>
        <w:tab/>
        <w:t>U.S. Geological Survey</w:t>
      </w:r>
    </w:p>
    <w:p w14:paraId="0A918D10" w14:textId="77777777" w:rsidR="0066782A" w:rsidRDefault="0066782A" w:rsidP="0066782A">
      <w:pPr>
        <w:pStyle w:val="DefListItem"/>
      </w:pPr>
      <w:r>
        <w:t>ET</w:t>
      </w:r>
      <w:r>
        <w:tab/>
        <w:t>Evapotranspiration</w:t>
      </w:r>
    </w:p>
    <w:p w14:paraId="2B04BE8A" w14:textId="77777777" w:rsidR="00EE7A88" w:rsidRDefault="00EE7A88" w:rsidP="00EE7A88">
      <w:pPr>
        <w:pStyle w:val="DefListItem"/>
      </w:pPr>
      <w:r>
        <w:t>P</w:t>
      </w:r>
      <w:r>
        <w:tab/>
        <w:t>P</w:t>
      </w:r>
      <w:r w:rsidRPr="00E33C63">
        <w:t>recipitation</w:t>
      </w:r>
    </w:p>
    <w:p w14:paraId="0CDD50DE" w14:textId="77777777" w:rsidR="0066782A" w:rsidRDefault="0066782A" w:rsidP="0066782A">
      <w:pPr>
        <w:pStyle w:val="DefListItem"/>
      </w:pPr>
      <w:r w:rsidRPr="00E83878">
        <w:t>ENSO</w:t>
      </w:r>
      <w:r>
        <w:tab/>
      </w:r>
      <w:r w:rsidRPr="00E13B69">
        <w:t>El Niño–Southern Oscillation</w:t>
      </w:r>
    </w:p>
    <w:bookmarkEnd w:id="18"/>
    <w:bookmarkEnd w:id="19"/>
    <w:p w14:paraId="16E3E585" w14:textId="7D56EF0D" w:rsidR="00203691" w:rsidRDefault="00203691" w:rsidP="00203691">
      <w:pPr>
        <w:pStyle w:val="TableofFigures"/>
        <w:tabs>
          <w:tab w:val="left" w:pos="1195"/>
          <w:tab w:val="right" w:leader="dot" w:pos="9350"/>
        </w:tabs>
      </w:pPr>
    </w:p>
    <w:p w14:paraId="64A60D78" w14:textId="67CB4F49" w:rsidR="00DA6B7A" w:rsidRDefault="00DA6B7A" w:rsidP="00DA6B7A">
      <w:pPr>
        <w:pStyle w:val="Head1"/>
      </w:pPr>
      <w:bookmarkStart w:id="28" w:name="_Toc507583983"/>
      <w:bookmarkStart w:id="29" w:name="_Toc507584037"/>
      <w:bookmarkStart w:id="30" w:name="_Toc531073708"/>
      <w:bookmarkStart w:id="31" w:name="_Toc228286023"/>
      <w:bookmarkEnd w:id="0"/>
      <w:bookmarkEnd w:id="1"/>
      <w:bookmarkEnd w:id="2"/>
      <w:bookmarkEnd w:id="15"/>
      <w:bookmarkEnd w:id="16"/>
      <w:r>
        <w:t>Introduction</w:t>
      </w:r>
      <w:bookmarkEnd w:id="28"/>
      <w:bookmarkEnd w:id="29"/>
      <w:bookmarkEnd w:id="30"/>
      <w:bookmarkEnd w:id="31"/>
    </w:p>
    <w:p w14:paraId="588F89D7" w14:textId="75FAF3FC" w:rsidR="00175FA0" w:rsidRPr="00175FA0" w:rsidRDefault="00175FA0" w:rsidP="00175FA0">
      <w:pPr>
        <w:pStyle w:val="BodyText"/>
      </w:pPr>
      <w:bookmarkStart w:id="32" w:name="_Ref78877437"/>
      <w:bookmarkStart w:id="33" w:name="_Ref20754636"/>
      <w:r w:rsidRPr="00175FA0">
        <w:t>Freshwater is critically important for sustaining life, supporting communities, and enabling economic activities across the Pacific islands. In Papua New Guinea’s Solomon Islands region—particularly on Guadalcanal and New Georgia—reliable hydrologic information is increasingly essential for utilities, resource managers, and local communities to plan for rising water demands, reduce the impacts of droughts and climate variability, and strengthen long</w:t>
      </w:r>
      <w:r w:rsidRPr="00175FA0">
        <w:noBreakHyphen/>
        <w:t>term water security. The Asian Development Bank (ADB), whose mission includes supporting sustainable development and climate resilience across Asia and the Pacific</w:t>
      </w:r>
      <w:r w:rsidR="00B440BC">
        <w:t xml:space="preserve"> </w:t>
      </w:r>
      <w:r w:rsidR="00B440BC" w:rsidRPr="00D839D6">
        <w:t>(ADB, 1965)</w:t>
      </w:r>
      <w:r w:rsidRPr="00175FA0">
        <w:t>, recognizes that dependable access to safe water underpins public health, environmental stability, and economic growth.</w:t>
      </w:r>
    </w:p>
    <w:p w14:paraId="15A7F033" w14:textId="77777777" w:rsidR="00175FA0" w:rsidRPr="00175FA0" w:rsidRDefault="00175FA0" w:rsidP="00175FA0">
      <w:pPr>
        <w:pStyle w:val="BodyText"/>
      </w:pPr>
      <w:r w:rsidRPr="00175FA0">
        <w:lastRenderedPageBreak/>
        <w:t>Improved understanding of the timing, magnitude, and variability of freshwater availability enables water managers on these islands to make informed decisions about resource allocation, infrastructure investment, and preparation for periods of deficit. Potential development actions—such as expanding water storage, improving supply system resilience, and protecting upper catchments—depend on consistent, accessible hydrologic information. Given the remoteness and rugged terrain of many watersheds in Guadalcanal and New Georgia, satellite</w:t>
      </w:r>
      <w:r w:rsidRPr="00175FA0">
        <w:noBreakHyphen/>
        <w:t>based datasets offer an efficient, scalable approach to meet these information needs.</w:t>
      </w:r>
    </w:p>
    <w:p w14:paraId="66B68800" w14:textId="7CE1D7C4" w:rsidR="00175FA0" w:rsidRPr="00175FA0" w:rsidRDefault="00175FA0" w:rsidP="00175FA0">
      <w:pPr>
        <w:pStyle w:val="BodyText"/>
      </w:pPr>
      <w:r w:rsidRPr="00175FA0">
        <w:t>To support these challenges, ADB and the U.S. Geological Survey (USGS) partnered to evaluate how Earth observation products can inform water resource management in the Solomon Islands, with a focus on Guadalcanal (including the capital, Honiara) and New Georgia</w:t>
      </w:r>
      <w:r w:rsidR="00516A52">
        <w:t xml:space="preserve"> (including the cities of Noro and Munda)</w:t>
      </w:r>
      <w:r w:rsidRPr="00175FA0">
        <w:t>. This collaboration analyzes long</w:t>
      </w:r>
      <w:r w:rsidRPr="00175FA0">
        <w:noBreakHyphen/>
        <w:t>term satellite datasets for precipitation, evapotranspiration (ET), seasonal rainfall patterns, drought monitoring, and weather</w:t>
      </w:r>
      <w:r w:rsidRPr="00175FA0">
        <w:noBreakHyphen/>
        <w:t>forecasting indicators. The methods used to develop these datasets are detailed in Volume 1 – Overview of this series, while this volume applies those methods to the hydrologic and climate conditions relevant to the islands of Guadalcanal and New Georgia.</w:t>
      </w:r>
    </w:p>
    <w:p w14:paraId="2B784E23" w14:textId="05FFCFB3" w:rsidR="00840C50" w:rsidRDefault="00D42BB8" w:rsidP="00E37E53">
      <w:pPr>
        <w:pStyle w:val="Head1"/>
      </w:pPr>
      <w:bookmarkStart w:id="34" w:name="_Toc228286024"/>
      <w:bookmarkEnd w:id="32"/>
      <w:bookmarkEnd w:id="33"/>
      <w:r>
        <w:t>Purpose and Scope</w:t>
      </w:r>
      <w:bookmarkEnd w:id="34"/>
    </w:p>
    <w:p w14:paraId="6DD89558" w14:textId="77777777" w:rsidR="00F94BD7" w:rsidRPr="00F94BD7" w:rsidRDefault="00F94BD7" w:rsidP="00F94BD7">
      <w:pPr>
        <w:pStyle w:val="BodyText"/>
      </w:pPr>
      <w:r w:rsidRPr="00F94BD7">
        <w:t>This report presents the results of a collaborative effort by the U.S. Geological Survey (USGS) and the Asian Development Bank (ADB) to assess the applicability of remotely sensed Earth</w:t>
      </w:r>
      <w:r w:rsidRPr="00F94BD7">
        <w:noBreakHyphen/>
        <w:t>observation data for improving understanding of water</w:t>
      </w:r>
      <w:r w:rsidRPr="00F94BD7">
        <w:noBreakHyphen/>
        <w:t>resource conditions across the Solomon Islands, with a focus on Guadalcanal and New Georgia. The work supports regional efforts to address persistent water</w:t>
      </w:r>
      <w:r w:rsidRPr="00F94BD7">
        <w:noBreakHyphen/>
        <w:t xml:space="preserve">availability challenges on Pacific islands, where freshwater </w:t>
      </w:r>
      <w:r w:rsidRPr="00F94BD7">
        <w:lastRenderedPageBreak/>
        <w:t>supplies can be constrained for extended periods due to climatic variability, extreme weather events, and geographic limitations.</w:t>
      </w:r>
    </w:p>
    <w:p w14:paraId="28E647BB" w14:textId="77777777" w:rsidR="00F94BD7" w:rsidRPr="00F94BD7" w:rsidRDefault="00F94BD7" w:rsidP="00F94BD7">
      <w:pPr>
        <w:pStyle w:val="BodyText"/>
      </w:pPr>
      <w:r w:rsidRPr="00F94BD7">
        <w:t>This volume documents the analytical components of the study and provides results for key population and resource centers on these islands. The scope of the report includes satellite</w:t>
      </w:r>
      <w:r w:rsidRPr="00F94BD7">
        <w:noBreakHyphen/>
        <w:t>based assessments of precipitation, evapotranspiration, seasonal rainfall variability, drought</w:t>
      </w:r>
      <w:r w:rsidRPr="00F94BD7">
        <w:noBreakHyphen/>
        <w:t>monitoring indicators, and weather</w:t>
      </w:r>
      <w:r w:rsidRPr="00F94BD7">
        <w:noBreakHyphen/>
        <w:t>forecasting resources. Methods used to generate these datasets are presented in Volume 1 of this series; the present volume focuses on applying those methods within Guadalcanal and New Georgia and summarizing the resulting water</w:t>
      </w:r>
      <w:r w:rsidRPr="00F94BD7">
        <w:noBreakHyphen/>
        <w:t>availability information.</w:t>
      </w:r>
    </w:p>
    <w:p w14:paraId="255AA707" w14:textId="77777777" w:rsidR="00F94BD7" w:rsidRPr="00F94BD7" w:rsidRDefault="00F94BD7" w:rsidP="00F94BD7">
      <w:pPr>
        <w:pStyle w:val="BodyText"/>
      </w:pPr>
      <w:r w:rsidRPr="00F94BD7">
        <w:t>Each chapter describes the datasets used, outlines key processing steps, and presents the derived products for the respective study areas. The information provided is intended to assist water managers, utilities, and planners in evaluating hydrologic conditions, identifying periods of relative water surplus or shortage, and supporting decisions related to water conservation, infrastructure planning, and resource management.</w:t>
      </w:r>
    </w:p>
    <w:p w14:paraId="07BB591F" w14:textId="77777777" w:rsidR="00890C88" w:rsidRPr="00F94BD7" w:rsidRDefault="00890C88" w:rsidP="00F94BD7">
      <w:pPr>
        <w:pStyle w:val="BodyText"/>
      </w:pPr>
    </w:p>
    <w:p w14:paraId="5F604AC1" w14:textId="3A5C732D" w:rsidR="00252367" w:rsidRDefault="0095471E" w:rsidP="00CA402A">
      <w:pPr>
        <w:pStyle w:val="Head1"/>
      </w:pPr>
      <w:bookmarkStart w:id="35" w:name="_Toc228286025"/>
      <w:r>
        <w:t>Solomon Islands</w:t>
      </w:r>
      <w:bookmarkEnd w:id="35"/>
    </w:p>
    <w:p w14:paraId="28786059" w14:textId="77777777" w:rsidR="00226511" w:rsidRDefault="00226511" w:rsidP="00226511">
      <w:pPr>
        <w:pStyle w:val="BodyText"/>
      </w:pPr>
      <w:r w:rsidRPr="00226511">
        <w:t>Beginning in 2024, the USGS entered a collaborative relationship with ADB to assess the utility of various remotely sensed datasets for improving water</w:t>
      </w:r>
      <w:r w:rsidRPr="00226511">
        <w:noBreakHyphen/>
        <w:t xml:space="preserve">resource management within the Solomon Islands, an archipelagic nation of more than 900 islands extending across the southwest Pacific between approximately 5° and 12° south latitude (Figure 1). This volume focuses on the contrasting hydrologic settings of Honiara on Guadalcanal and the Noro–Munda region of New </w:t>
      </w:r>
      <w:r w:rsidRPr="00226511">
        <w:lastRenderedPageBreak/>
        <w:t>Georgia, two population centers experiencing rapid development and increasing pressure on limited water</w:t>
      </w:r>
      <w:r w:rsidRPr="00226511">
        <w:noBreakHyphen/>
        <w:t>supply systems.</w:t>
      </w:r>
    </w:p>
    <w:p w14:paraId="0A830003" w14:textId="5C23066E" w:rsidR="00226511" w:rsidRPr="00226511" w:rsidRDefault="00226511" w:rsidP="00226511">
      <w:pPr>
        <w:pStyle w:val="BodyText"/>
      </w:pPr>
      <w:r>
        <w:rPr>
          <w:noProof/>
        </w:rPr>
        <w:drawing>
          <wp:inline distT="0" distB="0" distL="0" distR="0" wp14:anchorId="46BA94E2" wp14:editId="3F7E994F">
            <wp:extent cx="5943600" cy="5873000"/>
            <wp:effectExtent l="0" t="0" r="0" b="0"/>
            <wp:docPr id="170573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3005" name="Picture 1"/>
                    <pic:cNvPicPr/>
                  </pic:nvPicPr>
                  <pic:blipFill>
                    <a:blip r:embed="rId11"/>
                    <a:stretch>
                      <a:fillRect/>
                    </a:stretch>
                  </pic:blipFill>
                  <pic:spPr>
                    <a:xfrm>
                      <a:off x="0" y="0"/>
                      <a:ext cx="5943600" cy="5873000"/>
                    </a:xfrm>
                    <a:prstGeom prst="rect">
                      <a:avLst/>
                    </a:prstGeom>
                  </pic:spPr>
                </pic:pic>
              </a:graphicData>
            </a:graphic>
          </wp:inline>
        </w:drawing>
      </w:r>
    </w:p>
    <w:p w14:paraId="2E92CC1C" w14:textId="5EFAEB59" w:rsidR="0076455F" w:rsidRPr="0076455F" w:rsidRDefault="0076455F" w:rsidP="0076455F">
      <w:pPr>
        <w:pStyle w:val="Caption"/>
        <w:rPr>
          <w:rFonts w:ascii="Arial Narrow" w:hAnsi="Arial Narrow"/>
        </w:rPr>
      </w:pPr>
      <w:bookmarkStart w:id="36" w:name="_Toc227691711"/>
      <w:r w:rsidRPr="0076455F">
        <w:rPr>
          <w:rFonts w:ascii="Arial Narrow" w:hAnsi="Arial Narrow"/>
        </w:rPr>
        <w:t xml:space="preserve">Figure </w:t>
      </w:r>
      <w:r w:rsidRPr="0076455F">
        <w:rPr>
          <w:rFonts w:ascii="Arial Narrow" w:hAnsi="Arial Narrow"/>
        </w:rPr>
        <w:fldChar w:fldCharType="begin"/>
      </w:r>
      <w:r w:rsidRPr="0076455F">
        <w:rPr>
          <w:rFonts w:ascii="Arial Narrow" w:hAnsi="Arial Narrow"/>
        </w:rPr>
        <w:instrText xml:space="preserve"> SEQ Figure \* ARABIC </w:instrText>
      </w:r>
      <w:r w:rsidRPr="0076455F">
        <w:rPr>
          <w:rFonts w:ascii="Arial Narrow" w:hAnsi="Arial Narrow"/>
        </w:rPr>
        <w:fldChar w:fldCharType="separate"/>
      </w:r>
      <w:r w:rsidR="00EB6CD8">
        <w:rPr>
          <w:rFonts w:ascii="Arial Narrow" w:hAnsi="Arial Narrow"/>
          <w:noProof/>
        </w:rPr>
        <w:t>1</w:t>
      </w:r>
      <w:r w:rsidRPr="0076455F">
        <w:rPr>
          <w:rFonts w:ascii="Arial Narrow" w:hAnsi="Arial Narrow"/>
        </w:rPr>
        <w:fldChar w:fldCharType="end"/>
      </w:r>
      <w:r w:rsidRPr="0076455F">
        <w:rPr>
          <w:rFonts w:ascii="Arial Narrow" w:hAnsi="Arial Narrow"/>
        </w:rPr>
        <w:t>. Map of Western Pacific Ocean Island Nations. The Geographic Coordinate System is WGS84. Sources: Esri, TomTom, FAO, NOAA, USGS.</w:t>
      </w:r>
      <w:bookmarkEnd w:id="36"/>
    </w:p>
    <w:p w14:paraId="2D150070" w14:textId="0CFF05EB" w:rsidR="00226511" w:rsidRPr="00226511" w:rsidRDefault="00226511" w:rsidP="00226511">
      <w:pPr>
        <w:pStyle w:val="BodyText"/>
        <w:rPr>
          <w:rFonts w:ascii="Arial Narrow" w:hAnsi="Arial Narrow"/>
        </w:rPr>
      </w:pPr>
      <w:r w:rsidRPr="00226511">
        <w:rPr>
          <w:rFonts w:ascii="Arial Narrow" w:hAnsi="Arial Narrow"/>
        </w:rPr>
        <w:t>Alt text: A map showing the Western Pacific Ocean island nations. The map uses the WGS84 geographic coordinate system and includes data sources from Esri, TomTom, FAO, NOAA, and USGS.</w:t>
      </w:r>
    </w:p>
    <w:p w14:paraId="19BE94D1" w14:textId="4D85F9C2" w:rsidR="00226511" w:rsidRDefault="00226511" w:rsidP="00233A07">
      <w:pPr>
        <w:pStyle w:val="BodyText"/>
      </w:pPr>
      <w:r w:rsidRPr="00226511">
        <w:lastRenderedPageBreak/>
        <w:t>The Solomon Islands contain diverse volcanic, uplifted</w:t>
      </w:r>
      <w:r w:rsidRPr="00226511">
        <w:noBreakHyphen/>
        <w:t>limestone, and low</w:t>
      </w:r>
      <w:r w:rsidRPr="00226511">
        <w:noBreakHyphen/>
        <w:t>lying coral islands that produce substantial variation in hydrologic characteristics</w:t>
      </w:r>
      <w:r w:rsidR="00AE0AEC">
        <w:t xml:space="preserve"> (</w:t>
      </w:r>
      <w:r w:rsidR="00CF5E6F" w:rsidRPr="00CF5E6F">
        <w:t>Ministry of Natural Resources (MNR), Solomon Islands, 1979</w:t>
      </w:r>
      <w:r w:rsidR="00233A07">
        <w:t xml:space="preserve">; </w:t>
      </w:r>
      <w:r w:rsidR="00233A07" w:rsidRPr="00233A07">
        <w:t>Petterson, 2017</w:t>
      </w:r>
      <w:r w:rsidR="00AE0AEC">
        <w:t>)</w:t>
      </w:r>
      <w:r w:rsidRPr="00226511">
        <w:t>. Guadalcanal’s high</w:t>
      </w:r>
      <w:r w:rsidRPr="00226511">
        <w:noBreakHyphen/>
        <w:t>relief interior supports steep catchments, cloud</w:t>
      </w:r>
      <w:r w:rsidRPr="00226511">
        <w:noBreakHyphen/>
        <w:t>affected rainfall regimes, and multiple perennial rivers. However, Honiara</w:t>
      </w:r>
      <w:r w:rsidR="00EA5D49">
        <w:t xml:space="preserve"> is </w:t>
      </w:r>
      <w:r w:rsidRPr="00226511">
        <w:t>located on the island’s drier northwest coast</w:t>
      </w:r>
      <w:r w:rsidR="00EA5D49">
        <w:t xml:space="preserve"> and </w:t>
      </w:r>
      <w:r w:rsidRPr="00226511">
        <w:t>experiences strong seasonal rainfall variability, limited groundwater storage, and recurrent water shortages during prolonged dry periods or ENSO</w:t>
      </w:r>
      <w:r w:rsidRPr="00226511">
        <w:noBreakHyphen/>
        <w:t>related droughts</w:t>
      </w:r>
      <w:r w:rsidR="009A2C73">
        <w:t xml:space="preserve"> (</w:t>
      </w:r>
      <w:r w:rsidR="00DF264C">
        <w:t xml:space="preserve">White, 2016; </w:t>
      </w:r>
      <w:r w:rsidR="00935EAD">
        <w:t>ADB</w:t>
      </w:r>
      <w:r w:rsidR="00E61A50">
        <w:t>, 202</w:t>
      </w:r>
      <w:r w:rsidR="00935EAD">
        <w:t>1</w:t>
      </w:r>
      <w:r w:rsidR="009A2C73">
        <w:t>)</w:t>
      </w:r>
      <w:r w:rsidRPr="00226511">
        <w:t>. In contrast, the Noro–Munda region on New Georgia receives higher annual rainfall and is influenced by complex karst and volcanic aquifer systems, yet remains vulnerable to localized contamination, variable recharge rates, and increasing demands from fisheries, industrial activities, and population growth</w:t>
      </w:r>
      <w:r w:rsidR="002D78AC">
        <w:t xml:space="preserve"> (</w:t>
      </w:r>
      <w:r w:rsidR="002B6BEE">
        <w:fldChar w:fldCharType="begin"/>
      </w:r>
      <w:r w:rsidR="002B6BEE">
        <w:instrText xml:space="preserve"> REF _Ref227674465 \h </w:instrText>
      </w:r>
      <w:r w:rsidR="002B6BEE">
        <w:fldChar w:fldCharType="separate"/>
      </w:r>
      <w:r w:rsidR="002B6BEE">
        <w:t xml:space="preserve">Figure </w:t>
      </w:r>
      <w:r w:rsidR="002B6BEE">
        <w:rPr>
          <w:noProof/>
        </w:rPr>
        <w:t>2</w:t>
      </w:r>
      <w:r w:rsidR="002B6BEE">
        <w:fldChar w:fldCharType="end"/>
      </w:r>
      <w:r w:rsidR="002D78AC">
        <w:t>)</w:t>
      </w:r>
      <w:r w:rsidRPr="00226511">
        <w:t>.</w:t>
      </w:r>
    </w:p>
    <w:p w14:paraId="2149E591" w14:textId="4FC830D3" w:rsidR="002D78AC" w:rsidRDefault="001F2EA3" w:rsidP="00233A07">
      <w:pPr>
        <w:pStyle w:val="BodyText"/>
      </w:pPr>
      <w:r>
        <w:rPr>
          <w:noProof/>
        </w:rPr>
        <w:lastRenderedPageBreak/>
        <w:drawing>
          <wp:inline distT="0" distB="0" distL="0" distR="0" wp14:anchorId="4E05DB9A" wp14:editId="09718013">
            <wp:extent cx="5943600" cy="5873115"/>
            <wp:effectExtent l="0" t="0" r="0" b="0"/>
            <wp:docPr id="1887999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99664" name="Picture 1887999664"/>
                    <pic:cNvPicPr/>
                  </pic:nvPicPr>
                  <pic:blipFill>
                    <a:blip r:embed="rId12"/>
                    <a:stretch>
                      <a:fillRect/>
                    </a:stretch>
                  </pic:blipFill>
                  <pic:spPr>
                    <a:xfrm>
                      <a:off x="0" y="0"/>
                      <a:ext cx="5943600" cy="5873115"/>
                    </a:xfrm>
                    <a:prstGeom prst="rect">
                      <a:avLst/>
                    </a:prstGeom>
                  </pic:spPr>
                </pic:pic>
              </a:graphicData>
            </a:graphic>
          </wp:inline>
        </w:drawing>
      </w:r>
    </w:p>
    <w:p w14:paraId="28347F82" w14:textId="19ADF88D" w:rsidR="004232C8" w:rsidRDefault="004232C8" w:rsidP="009F4698">
      <w:pPr>
        <w:pStyle w:val="FigureCaption"/>
      </w:pPr>
      <w:bookmarkStart w:id="37" w:name="_Ref227674465"/>
      <w:bookmarkStart w:id="38" w:name="_Toc227691712"/>
      <w:r>
        <w:t xml:space="preserve">Figure </w:t>
      </w:r>
      <w:r>
        <w:fldChar w:fldCharType="begin"/>
      </w:r>
      <w:r>
        <w:instrText xml:space="preserve"> SEQ Figure \* ARABIC </w:instrText>
      </w:r>
      <w:r>
        <w:fldChar w:fldCharType="separate"/>
      </w:r>
      <w:r w:rsidR="00EB6CD8">
        <w:rPr>
          <w:noProof/>
        </w:rPr>
        <w:t>2</w:t>
      </w:r>
      <w:r>
        <w:fldChar w:fldCharType="end"/>
      </w:r>
      <w:bookmarkEnd w:id="37"/>
      <w:r>
        <w:t xml:space="preserve">. </w:t>
      </w:r>
      <w:r w:rsidR="002B6BEE">
        <w:t>Mean</w:t>
      </w:r>
      <w:r w:rsidRPr="00AE2ACC">
        <w:t xml:space="preserve"> annual precipitation from 2015 - 2024 from IMERG Final Run dataset, displaying lower values in light blue and higher values dark blue.</w:t>
      </w:r>
      <w:bookmarkEnd w:id="38"/>
    </w:p>
    <w:p w14:paraId="5D9357D4" w14:textId="1C0DF994" w:rsidR="00A154D6" w:rsidRPr="000670F2" w:rsidRDefault="00A154D6" w:rsidP="00A154D6">
      <w:pPr>
        <w:pStyle w:val="Caption"/>
        <w:ind w:firstLine="720"/>
        <w:rPr>
          <w:rFonts w:ascii="Arial Narrow" w:hAnsi="Arial Narrow"/>
        </w:rPr>
      </w:pPr>
      <w:r w:rsidRPr="000670F2">
        <w:rPr>
          <w:rFonts w:ascii="Arial Narrow" w:hAnsi="Arial Narrow"/>
        </w:rPr>
        <w:t xml:space="preserve">Alt. text. Graphical representation of </w:t>
      </w:r>
      <w:r w:rsidR="002B6BEE">
        <w:rPr>
          <w:rFonts w:ascii="Arial Narrow" w:hAnsi="Arial Narrow"/>
        </w:rPr>
        <w:t>mean</w:t>
      </w:r>
      <w:r w:rsidRPr="000670F2">
        <w:rPr>
          <w:rFonts w:ascii="Arial Narrow" w:hAnsi="Arial Narrow"/>
        </w:rPr>
        <w:t xml:space="preserve"> annual precipitation from 2015 - 2024 from IMERG Final Run dataset, displaying lower values in light blue and higher values dark blue.</w:t>
      </w:r>
    </w:p>
    <w:p w14:paraId="7275CC2E" w14:textId="77777777" w:rsidR="004232C8" w:rsidRPr="004232C8" w:rsidRDefault="004232C8" w:rsidP="004232C8"/>
    <w:p w14:paraId="3F5FDE62" w14:textId="6473B80A" w:rsidR="00226511" w:rsidRPr="00226511" w:rsidRDefault="00226511" w:rsidP="00226511">
      <w:pPr>
        <w:pStyle w:val="BodyText"/>
      </w:pPr>
      <w:r w:rsidRPr="00226511">
        <w:lastRenderedPageBreak/>
        <w:t xml:space="preserve">The Solomon Islands lie along the tectonically active boundary between the Pacific and </w:t>
      </w:r>
      <w:r w:rsidR="00787797">
        <w:t>Indo-</w:t>
      </w:r>
      <w:r w:rsidRPr="00226511">
        <w:t>Australian Plates, resulting in frequent earthquakes, active volcanic centers, rapid uplift, and widespread landslide hazards. These geologic processes shape watershed evolution, sediment transport, and long</w:t>
      </w:r>
      <w:r w:rsidRPr="00226511">
        <w:noBreakHyphen/>
        <w:t>term water</w:t>
      </w:r>
      <w:r w:rsidRPr="00226511">
        <w:noBreakHyphen/>
        <w:t>infrastructure stability—particularly in steep, erosion</w:t>
      </w:r>
      <w:r w:rsidRPr="00226511">
        <w:noBreakHyphen/>
        <w:t>prone basins such as those surrounding Honiara. Coastal communities in both Honiara and Noro/Munda are also exposed to storm surge, king tides, and sea</w:t>
      </w:r>
      <w:r w:rsidRPr="00226511">
        <w:noBreakHyphen/>
        <w:t>level rise, which threaten shallow aquifers and critical water</w:t>
      </w:r>
      <w:r w:rsidRPr="00226511">
        <w:noBreakHyphen/>
        <w:t>supply assets. In consultation with national and provincial water authorities, ADB prioritized enhancing remotely sensed precipitation, evapotranspiration, water</w:t>
      </w:r>
      <w:r w:rsidRPr="00226511">
        <w:noBreakHyphen/>
        <w:t>balance, and drought</w:t>
      </w:r>
      <w:r w:rsidRPr="00226511">
        <w:noBreakHyphen/>
        <w:t>monitoring datasets for Honiara and the Noro–Munda corridor, reflecting their high hydrologic vulnerability and growing socioeconomic importance.</w:t>
      </w:r>
    </w:p>
    <w:p w14:paraId="3CBD115E" w14:textId="77777777" w:rsidR="00680A00" w:rsidRDefault="00680A00" w:rsidP="00680A00">
      <w:pPr>
        <w:pStyle w:val="BodyText"/>
        <w:ind w:firstLine="0"/>
      </w:pPr>
    </w:p>
    <w:p w14:paraId="5BD14223" w14:textId="06102A14" w:rsidR="00E8567C" w:rsidRDefault="00D3475E" w:rsidP="007A581C">
      <w:pPr>
        <w:pStyle w:val="Head2"/>
      </w:pPr>
      <w:bookmarkStart w:id="39" w:name="_Toc228286026"/>
      <w:r>
        <w:t xml:space="preserve">Basin for </w:t>
      </w:r>
      <w:r w:rsidR="005D1FC7" w:rsidRPr="005D1FC7">
        <w:t>City of Honiara, Island of Guadalcanal</w:t>
      </w:r>
      <w:bookmarkEnd w:id="39"/>
    </w:p>
    <w:p w14:paraId="6EC08306" w14:textId="2E3D545A" w:rsidR="005F1E32" w:rsidRDefault="007A581C" w:rsidP="007A581C">
      <w:pPr>
        <w:pStyle w:val="BodyText"/>
      </w:pPr>
      <w:r w:rsidRPr="007A581C">
        <w:t>Honiara, located on the northwestern coast of Guadalcanal, is the capital and largest urban center of the Solomon Islands</w:t>
      </w:r>
      <w:r w:rsidR="005F1E32">
        <w:t xml:space="preserve"> (</w:t>
      </w:r>
      <w:r w:rsidR="002B6BEE">
        <w:fldChar w:fldCharType="begin"/>
      </w:r>
      <w:r w:rsidR="002B6BEE">
        <w:instrText xml:space="preserve"> REF _Ref227674481 \h </w:instrText>
      </w:r>
      <w:r w:rsidR="002B6BEE">
        <w:fldChar w:fldCharType="separate"/>
      </w:r>
      <w:r w:rsidR="002B6BEE" w:rsidRPr="00E80EF6">
        <w:rPr>
          <w:rFonts w:ascii="Arial Narrow" w:hAnsi="Arial Narrow"/>
        </w:rPr>
        <w:t xml:space="preserve">Figure </w:t>
      </w:r>
      <w:r w:rsidR="002B6BEE">
        <w:rPr>
          <w:rFonts w:ascii="Arial Narrow" w:hAnsi="Arial Narrow"/>
          <w:noProof/>
        </w:rPr>
        <w:t>3</w:t>
      </w:r>
      <w:r w:rsidR="002B6BEE">
        <w:fldChar w:fldCharType="end"/>
      </w:r>
      <w:r w:rsidR="005F1E32">
        <w:t>)</w:t>
      </w:r>
      <w:r w:rsidRPr="007A581C">
        <w:t xml:space="preserve">. </w:t>
      </w:r>
    </w:p>
    <w:p w14:paraId="289F302D" w14:textId="10C53DF0" w:rsidR="00E83DB0" w:rsidRDefault="00E83DB0" w:rsidP="007A581C">
      <w:pPr>
        <w:pStyle w:val="BodyText"/>
      </w:pPr>
      <w:r>
        <w:rPr>
          <w:noProof/>
        </w:rPr>
        <w:lastRenderedPageBreak/>
        <w:drawing>
          <wp:inline distT="0" distB="0" distL="0" distR="0" wp14:anchorId="79E5DB9A" wp14:editId="1060244F">
            <wp:extent cx="5068824" cy="4688738"/>
            <wp:effectExtent l="0" t="0" r="0" b="0"/>
            <wp:docPr id="14618930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893015" name="Picture 2"/>
                    <pic:cNvPicPr/>
                  </pic:nvPicPr>
                  <pic:blipFill>
                    <a:blip r:embed="rId13"/>
                    <a:stretch>
                      <a:fillRect/>
                    </a:stretch>
                  </pic:blipFill>
                  <pic:spPr>
                    <a:xfrm>
                      <a:off x="0" y="0"/>
                      <a:ext cx="5068824" cy="4688738"/>
                    </a:xfrm>
                    <a:prstGeom prst="rect">
                      <a:avLst/>
                    </a:prstGeom>
                  </pic:spPr>
                </pic:pic>
              </a:graphicData>
            </a:graphic>
          </wp:inline>
        </w:drawing>
      </w:r>
    </w:p>
    <w:p w14:paraId="72C3A7BE" w14:textId="02358296" w:rsidR="00E80EF6" w:rsidRPr="00E80EF6" w:rsidRDefault="00E80EF6" w:rsidP="00E80EF6">
      <w:pPr>
        <w:pStyle w:val="Caption"/>
        <w:rPr>
          <w:rFonts w:ascii="Arial Narrow" w:hAnsi="Arial Narrow"/>
        </w:rPr>
      </w:pPr>
      <w:bookmarkStart w:id="40" w:name="_Ref227674481"/>
      <w:bookmarkStart w:id="41" w:name="_Toc227691713"/>
      <w:r w:rsidRPr="00E80EF6">
        <w:rPr>
          <w:rFonts w:ascii="Arial Narrow" w:hAnsi="Arial Narrow"/>
        </w:rPr>
        <w:t xml:space="preserve">Figure </w:t>
      </w:r>
      <w:r w:rsidRPr="00E80EF6">
        <w:rPr>
          <w:rFonts w:ascii="Arial Narrow" w:hAnsi="Arial Narrow"/>
        </w:rPr>
        <w:fldChar w:fldCharType="begin"/>
      </w:r>
      <w:r w:rsidRPr="00E80EF6">
        <w:rPr>
          <w:rFonts w:ascii="Arial Narrow" w:hAnsi="Arial Narrow"/>
        </w:rPr>
        <w:instrText xml:space="preserve"> SEQ Figure \* ARABIC </w:instrText>
      </w:r>
      <w:r w:rsidRPr="00E80EF6">
        <w:rPr>
          <w:rFonts w:ascii="Arial Narrow" w:hAnsi="Arial Narrow"/>
        </w:rPr>
        <w:fldChar w:fldCharType="separate"/>
      </w:r>
      <w:r w:rsidR="00EB6CD8">
        <w:rPr>
          <w:rFonts w:ascii="Arial Narrow" w:hAnsi="Arial Narrow"/>
          <w:noProof/>
        </w:rPr>
        <w:t>3</w:t>
      </w:r>
      <w:r w:rsidRPr="00E80EF6">
        <w:rPr>
          <w:rFonts w:ascii="Arial Narrow" w:hAnsi="Arial Narrow"/>
        </w:rPr>
        <w:fldChar w:fldCharType="end"/>
      </w:r>
      <w:bookmarkEnd w:id="40"/>
      <w:r w:rsidRPr="00E80EF6">
        <w:rPr>
          <w:rFonts w:ascii="Arial Narrow" w:hAnsi="Arial Narrow"/>
        </w:rPr>
        <w:t>. Map of Guadalcanal Island. The Geographic Coordinate System is WGS84. Sources: Esri, TomTom, FAO, NOAA, USGS.</w:t>
      </w:r>
      <w:bookmarkEnd w:id="41"/>
    </w:p>
    <w:p w14:paraId="03E7EDC5" w14:textId="349928EC" w:rsidR="00E83DB0" w:rsidRPr="00226511" w:rsidRDefault="00E83DB0" w:rsidP="00E83DB0">
      <w:pPr>
        <w:pStyle w:val="BodyText"/>
        <w:rPr>
          <w:rFonts w:ascii="Arial Narrow" w:hAnsi="Arial Narrow"/>
        </w:rPr>
      </w:pPr>
      <w:r w:rsidRPr="00226511">
        <w:rPr>
          <w:rFonts w:ascii="Arial Narrow" w:hAnsi="Arial Narrow"/>
        </w:rPr>
        <w:t xml:space="preserve">Alt text: A map showing </w:t>
      </w:r>
      <w:r>
        <w:rPr>
          <w:rFonts w:ascii="Arial Narrow" w:hAnsi="Arial Narrow"/>
        </w:rPr>
        <w:t>Guadalcanal Island</w:t>
      </w:r>
      <w:r w:rsidRPr="00226511">
        <w:rPr>
          <w:rFonts w:ascii="Arial Narrow" w:hAnsi="Arial Narrow"/>
        </w:rPr>
        <w:t>. The map uses the WGS84 geographic coordinate system and includes data sources from Esri, TomTom, FAO, NOAA, and USGS.</w:t>
      </w:r>
    </w:p>
    <w:p w14:paraId="243BDA4A" w14:textId="6A6F6328" w:rsidR="007A581C" w:rsidRPr="007A581C" w:rsidRDefault="007A581C" w:rsidP="007A581C">
      <w:pPr>
        <w:pStyle w:val="BodyText"/>
      </w:pPr>
      <w:r w:rsidRPr="007A581C">
        <w:t xml:space="preserve">The city occupies a narrow coastal plain backed by steep volcanic and sedimentary uplands that form a series of short, rapidly responding catchments draining toward Iron Bottom Sound. These catchments, including the </w:t>
      </w:r>
      <w:proofErr w:type="spellStart"/>
      <w:r w:rsidRPr="007A581C">
        <w:t>Mataniko</w:t>
      </w:r>
      <w:proofErr w:type="spellEnd"/>
      <w:r w:rsidRPr="007A581C">
        <w:t xml:space="preserve"> and </w:t>
      </w:r>
      <w:proofErr w:type="spellStart"/>
      <w:r w:rsidRPr="007A581C">
        <w:t>Lungga</w:t>
      </w:r>
      <w:proofErr w:type="spellEnd"/>
      <w:r w:rsidRPr="007A581C">
        <w:t xml:space="preserve"> River systems, are hydrologically dynamic, with fast runoff generation during intense rainfall and highly variable baseflow conditions during extended dry periods. The topography surrounding Honiara creates strong </w:t>
      </w:r>
      <w:r w:rsidRPr="007A581C">
        <w:lastRenderedPageBreak/>
        <w:t>gradients in both surface</w:t>
      </w:r>
      <w:r w:rsidRPr="007A581C">
        <w:noBreakHyphen/>
        <w:t>water availability and groundwater recharge potential, with most recharge confined to permeable alluvial fans and fractured bedrock zones upstream of the developed coastal strip.</w:t>
      </w:r>
    </w:p>
    <w:p w14:paraId="27320C8B" w14:textId="6781F223" w:rsidR="007A581C" w:rsidRPr="007A581C" w:rsidRDefault="007A581C" w:rsidP="00343582">
      <w:pPr>
        <w:pStyle w:val="BodyText"/>
      </w:pPr>
      <w:r w:rsidRPr="007A581C">
        <w:t>Water supply for Honiara relies primarily on surface</w:t>
      </w:r>
      <w:r w:rsidRPr="007A581C">
        <w:noBreakHyphen/>
        <w:t xml:space="preserve">water abstraction from the </w:t>
      </w:r>
      <w:proofErr w:type="spellStart"/>
      <w:r w:rsidRPr="007A581C">
        <w:t>Lungga</w:t>
      </w:r>
      <w:proofErr w:type="spellEnd"/>
      <w:r w:rsidRPr="007A581C">
        <w:t xml:space="preserve"> and </w:t>
      </w:r>
      <w:proofErr w:type="spellStart"/>
      <w:r w:rsidRPr="007A581C">
        <w:t>Kongulai</w:t>
      </w:r>
      <w:proofErr w:type="spellEnd"/>
      <w:r w:rsidRPr="007A581C">
        <w:t xml:space="preserve"> systems, supplemented by springs and groundwater sources in adjacent basins</w:t>
      </w:r>
      <w:r w:rsidR="009A12B4">
        <w:t xml:space="preserve"> (</w:t>
      </w:r>
      <w:r w:rsidR="00343582" w:rsidRPr="00343582">
        <w:t>Solomon Islands Water Authority</w:t>
      </w:r>
      <w:r w:rsidR="00343582">
        <w:t xml:space="preserve">, 2021; </w:t>
      </w:r>
      <w:r w:rsidR="00343582" w:rsidRPr="00343582">
        <w:t>Secretariat of the Pacific Community</w:t>
      </w:r>
      <w:r w:rsidR="00343582">
        <w:t xml:space="preserve">, </w:t>
      </w:r>
      <w:r w:rsidR="00343582" w:rsidRPr="00343582">
        <w:t>2015</w:t>
      </w:r>
      <w:r w:rsidR="009A12B4">
        <w:t>)</w:t>
      </w:r>
      <w:r w:rsidRPr="007A581C">
        <w:t>. The combination of steep slopes, thin soils, and limited natural storage results in rapid hydrologic response to storm events, contributing to frequent flash flooding and elevated sediment loads during the wet season. Conversely, the city is vulnerable to water shortages during droughts, particularly those associated with ENSO events, when stream</w:t>
      </w:r>
      <w:r w:rsidR="00BE3947">
        <w:t xml:space="preserve"> </w:t>
      </w:r>
      <w:r w:rsidRPr="007A581C">
        <w:t xml:space="preserve">flows decline sharply and spring discharge is reduced. Groundwater resources near the coast are limited in extent and are susceptible to saline intrusion, especially </w:t>
      </w:r>
      <w:proofErr w:type="gramStart"/>
      <w:r w:rsidRPr="007A581C">
        <w:t>wh</w:t>
      </w:r>
      <w:r w:rsidR="003C4BBD">
        <w:t>ere</w:t>
      </w:r>
      <w:proofErr w:type="gramEnd"/>
      <w:r w:rsidRPr="007A581C">
        <w:t xml:space="preserve"> pumping exceeds natural recharge or where tidal influence interacts with shallow aquifers.</w:t>
      </w:r>
    </w:p>
    <w:p w14:paraId="46180B29" w14:textId="77777777" w:rsidR="007A581C" w:rsidRPr="007A581C" w:rsidRDefault="007A581C" w:rsidP="007A581C">
      <w:pPr>
        <w:pStyle w:val="BodyText"/>
      </w:pPr>
      <w:r w:rsidRPr="007A581C">
        <w:t>Urban expansion along the coastline and into alluvial fan areas has increased pressure on both surface</w:t>
      </w:r>
      <w:r w:rsidRPr="007A581C">
        <w:noBreakHyphen/>
        <w:t>water and groundwater systems. Land</w:t>
      </w:r>
      <w:r w:rsidRPr="007A581C">
        <w:noBreakHyphen/>
        <w:t>use changes, including vegetation loss on upstream slopes, have amplified erosion, turbidity during storms, and sedimentation within intakes. Infrastructure vulnerability is heightened by the region’s high seismicity, steep terrain, and exposure to cyclones, all of which can disrupt water</w:t>
      </w:r>
      <w:r w:rsidRPr="007A581C">
        <w:noBreakHyphen/>
        <w:t>supply operations, damage distribution systems, or impair water quality. These conditions underscore the importance of detailed monitoring of precipitation, evapotranspiration, and seasonal hydrologic variability to support sustainable water</w:t>
      </w:r>
      <w:r w:rsidRPr="007A581C">
        <w:noBreakHyphen/>
        <w:t>resource management.</w:t>
      </w:r>
    </w:p>
    <w:p w14:paraId="5133A7B7" w14:textId="77777777" w:rsidR="007A581C" w:rsidRDefault="007A581C" w:rsidP="007A581C">
      <w:pPr>
        <w:pStyle w:val="BodyText"/>
      </w:pPr>
      <w:r w:rsidRPr="007A581C">
        <w:t>The remotely sensed datasets summarized in this volume provide tools for evaluating rainfall patterns, drought severity, and water</w:t>
      </w:r>
      <w:r w:rsidRPr="007A581C">
        <w:noBreakHyphen/>
        <w:t xml:space="preserve">availability fluctuations across the Honiara </w:t>
      </w:r>
      <w:r w:rsidRPr="007A581C">
        <w:lastRenderedPageBreak/>
        <w:t>catchments. These datasets help support decision</w:t>
      </w:r>
      <w:r w:rsidRPr="007A581C">
        <w:noBreakHyphen/>
        <w:t>making related to intake management, groundwater protection, and long</w:t>
      </w:r>
      <w:r w:rsidRPr="007A581C">
        <w:noBreakHyphen/>
        <w:t>term planning for a rapidly growing city dependent on small, environmentally sensitive freshwater systems.</w:t>
      </w:r>
    </w:p>
    <w:p w14:paraId="6AE1DA0A" w14:textId="3A6F0C32" w:rsidR="001C0D1F" w:rsidRDefault="00143020" w:rsidP="007A581C">
      <w:pPr>
        <w:pStyle w:val="Head3"/>
      </w:pPr>
      <w:bookmarkStart w:id="42" w:name="_Toc228286027"/>
      <w:r w:rsidRPr="003B1806">
        <w:t>Precip</w:t>
      </w:r>
      <w:r w:rsidR="004B5462" w:rsidRPr="003B1806">
        <w:t>itation</w:t>
      </w:r>
      <w:bookmarkEnd w:id="42"/>
    </w:p>
    <w:p w14:paraId="483953EB" w14:textId="16B4E1E9" w:rsidR="007573FA" w:rsidRPr="00280632" w:rsidRDefault="007573FA" w:rsidP="007573FA">
      <w:pPr>
        <w:pStyle w:val="BodyText"/>
      </w:pPr>
      <w:r w:rsidRPr="00766F3C">
        <w:t xml:space="preserve">Precipitation is the primary source of freshwater across Pacific </w:t>
      </w:r>
      <w:r w:rsidR="00E05C1D">
        <w:t>I</w:t>
      </w:r>
      <w:r w:rsidRPr="00766F3C">
        <w:t>sland environments,</w:t>
      </w:r>
      <w:r>
        <w:t xml:space="preserve"> b</w:t>
      </w:r>
      <w:r w:rsidRPr="00280632">
        <w:t>ecause islands lack the buffering capacity of large watersheds or reservoirs</w:t>
      </w:r>
      <w:r>
        <w:t xml:space="preserve"> (Tribble, 2008). Therefore,</w:t>
      </w:r>
      <w:r w:rsidRPr="00280632">
        <w:t xml:space="preserve"> understanding spatial and temporal rainfall variability is essential for evaluating water availability, assessing drought risk, and guiding sustainable management of hydrologic resources. Satellite</w:t>
      </w:r>
      <w:r w:rsidRPr="00280632">
        <w:noBreakHyphen/>
        <w:t>derived precipitation datasets provide a consistent means of monitoring these patterns across remote and data</w:t>
      </w:r>
      <w:r w:rsidRPr="00280632">
        <w:noBreakHyphen/>
        <w:t>sparse island settings.</w:t>
      </w:r>
    </w:p>
    <w:p w14:paraId="754B3A4C" w14:textId="23293930" w:rsidR="00293FF0" w:rsidRPr="00293FF0" w:rsidRDefault="00293FF0" w:rsidP="00293FF0">
      <w:pPr>
        <w:pStyle w:val="BodyText"/>
      </w:pPr>
      <w:bookmarkStart w:id="43" w:name="_Ref226964802"/>
      <w:r w:rsidRPr="00293FF0">
        <w:t>Precipitation patterns for Honiara and the surrounding areas of Guadalcanal were derived using the Integrated Multi</w:t>
      </w:r>
      <w:r w:rsidRPr="00293FF0">
        <w:noBreakHyphen/>
      </w:r>
      <w:proofErr w:type="spellStart"/>
      <w:r w:rsidRPr="00293FF0">
        <w:t>satellitE</w:t>
      </w:r>
      <w:proofErr w:type="spellEnd"/>
      <w:r w:rsidRPr="00293FF0">
        <w:t xml:space="preserve"> Retrievals for GPM (IMERG) precipitation dataset (Huffman </w:t>
      </w:r>
      <w:r w:rsidR="009B6B74">
        <w:t>and others</w:t>
      </w:r>
      <w:r w:rsidRPr="00293FF0">
        <w:t>, 2019). After the data was acquired, the island</w:t>
      </w:r>
      <w:r w:rsidRPr="00293FF0">
        <w:noBreakHyphen/>
        <w:t>region average for every day from 1 January 1998 to 31 September 2025 was generated and can be accessed from the accompanying USGS data release (USGS data</w:t>
      </w:r>
      <w:r w:rsidRPr="00293FF0">
        <w:noBreakHyphen/>
        <w:t>release citation here).</w:t>
      </w:r>
    </w:p>
    <w:p w14:paraId="62086613" w14:textId="3A28EED7" w:rsidR="00293FF0" w:rsidRPr="00293FF0" w:rsidRDefault="00293FF0" w:rsidP="00293FF0">
      <w:pPr>
        <w:pStyle w:val="BodyText"/>
      </w:pPr>
      <w:r w:rsidRPr="00293FF0">
        <w:t>Guadalcanal exhibits a tropical monsoon climate strongly influenced by seasonal circulation patterns and orographic effects arising from the island’s steep interior ranges. Honiara, located on the island’s drier northwest coast, experiences pronounced seasonal rainfall variability with typically wetter months from November to April and markedly drier conditions from May to October</w:t>
      </w:r>
      <w:r w:rsidR="00117164">
        <w:t xml:space="preserve"> (</w:t>
      </w:r>
      <w:r w:rsidR="00117164">
        <w:fldChar w:fldCharType="begin"/>
      </w:r>
      <w:r w:rsidR="00117164">
        <w:instrText xml:space="preserve"> REF _Ref227270332 \h </w:instrText>
      </w:r>
      <w:r w:rsidR="00117164">
        <w:fldChar w:fldCharType="separate"/>
      </w:r>
      <w:r w:rsidR="00117164" w:rsidRPr="000D7939">
        <w:rPr>
          <w:rFonts w:ascii="Arial Narrow" w:hAnsi="Arial Narrow"/>
        </w:rPr>
        <w:t xml:space="preserve">Table </w:t>
      </w:r>
      <w:r w:rsidR="00117164" w:rsidRPr="000D7939">
        <w:rPr>
          <w:rFonts w:ascii="Arial Narrow" w:hAnsi="Arial Narrow"/>
          <w:noProof/>
        </w:rPr>
        <w:t>1</w:t>
      </w:r>
      <w:r w:rsidR="00117164">
        <w:fldChar w:fldCharType="end"/>
      </w:r>
      <w:r w:rsidR="00117164">
        <w:t>)</w:t>
      </w:r>
      <w:r w:rsidRPr="00293FF0">
        <w:t xml:space="preserve">. Across the period analyzed, the </w:t>
      </w:r>
      <w:r w:rsidR="00753A36">
        <w:t>mean</w:t>
      </w:r>
      <w:r w:rsidRPr="00293FF0">
        <w:t xml:space="preserve"> annual precipitation for the Honiara region is </w:t>
      </w:r>
      <w:r w:rsidR="00117164" w:rsidRPr="00117164">
        <w:t>2453</w:t>
      </w:r>
      <w:r w:rsidRPr="00293FF0">
        <w:t xml:space="preserve"> mm, with a mean monthly precipitation of </w:t>
      </w:r>
      <w:r w:rsidR="00117164" w:rsidRPr="00117164">
        <w:t>213</w:t>
      </w:r>
      <w:r w:rsidRPr="00293FF0">
        <w:t xml:space="preserve"> mm. The </w:t>
      </w:r>
      <w:r w:rsidR="00753A36">
        <w:t>mean</w:t>
      </w:r>
      <w:r w:rsidRPr="00293FF0">
        <w:t xml:space="preserve"> minimum monthly precipitation is </w:t>
      </w:r>
      <w:r w:rsidR="00117164" w:rsidRPr="00117164">
        <w:t>132</w:t>
      </w:r>
      <w:r w:rsidRPr="00293FF0">
        <w:t xml:space="preserve"> mm, reflecting the persistent dry-season deficits common to the </w:t>
      </w:r>
      <w:r w:rsidRPr="00293FF0">
        <w:lastRenderedPageBreak/>
        <w:t xml:space="preserve">region, while the </w:t>
      </w:r>
      <w:r w:rsidR="00753A36">
        <w:t>mean</w:t>
      </w:r>
      <w:r w:rsidRPr="00293FF0">
        <w:t xml:space="preserve"> maximum monthly precipitation reaches </w:t>
      </w:r>
      <w:r w:rsidR="00117164" w:rsidRPr="00117164">
        <w:t>340</w:t>
      </w:r>
      <w:r w:rsidRPr="00293FF0">
        <w:t xml:space="preserve"> mm during peak monsoon months.</w:t>
      </w:r>
    </w:p>
    <w:p w14:paraId="50E19D8E" w14:textId="7E9D1D9D" w:rsidR="007573FA" w:rsidRPr="008B0A47" w:rsidRDefault="007573FA" w:rsidP="007573FA">
      <w:pPr>
        <w:pStyle w:val="BodyText"/>
        <w:rPr>
          <w:rFonts w:ascii="Arial Narrow" w:hAnsi="Arial Narrow"/>
        </w:rPr>
      </w:pPr>
      <w:bookmarkStart w:id="44" w:name="_Ref227270332"/>
      <w:bookmarkStart w:id="45" w:name="_Toc226968176"/>
      <w:bookmarkStart w:id="46" w:name="_Toc228285967"/>
      <w:r w:rsidRPr="000D7939">
        <w:rPr>
          <w:rFonts w:ascii="Arial Narrow" w:hAnsi="Arial Narrow"/>
        </w:rPr>
        <w:t xml:space="preserve">Table </w:t>
      </w:r>
      <w:r w:rsidRPr="000D7939">
        <w:rPr>
          <w:rFonts w:ascii="Arial Narrow" w:hAnsi="Arial Narrow"/>
        </w:rPr>
        <w:fldChar w:fldCharType="begin"/>
      </w:r>
      <w:r w:rsidRPr="000D7939">
        <w:rPr>
          <w:rFonts w:ascii="Arial Narrow" w:hAnsi="Arial Narrow"/>
        </w:rPr>
        <w:instrText xml:space="preserve"> SEQ Table \* ARABIC </w:instrText>
      </w:r>
      <w:r w:rsidRPr="000D7939">
        <w:rPr>
          <w:rFonts w:ascii="Arial Narrow" w:hAnsi="Arial Narrow"/>
        </w:rPr>
        <w:fldChar w:fldCharType="separate"/>
      </w:r>
      <w:r w:rsidR="00C93E55">
        <w:rPr>
          <w:rFonts w:ascii="Arial Narrow" w:hAnsi="Arial Narrow"/>
          <w:noProof/>
        </w:rPr>
        <w:t>1</w:t>
      </w:r>
      <w:r w:rsidRPr="000D7939">
        <w:rPr>
          <w:rFonts w:ascii="Arial Narrow" w:hAnsi="Arial Narrow"/>
        </w:rPr>
        <w:fldChar w:fldCharType="end"/>
      </w:r>
      <w:bookmarkEnd w:id="43"/>
      <w:bookmarkEnd w:id="44"/>
      <w:r w:rsidRPr="000D7939">
        <w:rPr>
          <w:rFonts w:ascii="Arial Narrow" w:hAnsi="Arial Narrow"/>
        </w:rPr>
        <w:t xml:space="preserve">. </w:t>
      </w:r>
      <w:r w:rsidR="00753A36">
        <w:rPr>
          <w:rFonts w:ascii="Arial Narrow" w:hAnsi="Arial Narrow"/>
        </w:rPr>
        <w:t>Mean</w:t>
      </w:r>
      <w:r w:rsidRPr="000D7939">
        <w:rPr>
          <w:rFonts w:ascii="Arial Narrow" w:hAnsi="Arial Narrow"/>
        </w:rPr>
        <w:t xml:space="preserve"> IMERG Precipitation Statistics (1998–2024) for </w:t>
      </w:r>
      <w:bookmarkEnd w:id="45"/>
      <w:r w:rsidR="000D7939" w:rsidRPr="000D7939">
        <w:rPr>
          <w:rFonts w:ascii="Arial Narrow" w:hAnsi="Arial Narrow"/>
        </w:rPr>
        <w:t>Honiara Basin</w:t>
      </w:r>
      <w:bookmarkEnd w:id="46"/>
    </w:p>
    <w:tbl>
      <w:tblPr>
        <w:tblStyle w:val="TableGrid"/>
        <w:tblW w:w="0" w:type="auto"/>
        <w:tblLook w:val="04A0" w:firstRow="1" w:lastRow="0" w:firstColumn="1" w:lastColumn="0" w:noHBand="0" w:noVBand="1"/>
      </w:tblPr>
      <w:tblGrid>
        <w:gridCol w:w="3955"/>
        <w:gridCol w:w="3595"/>
      </w:tblGrid>
      <w:tr w:rsidR="007573FA" w:rsidRPr="00937742" w14:paraId="1BD189E5" w14:textId="77777777">
        <w:tc>
          <w:tcPr>
            <w:tcW w:w="3955" w:type="dxa"/>
          </w:tcPr>
          <w:p w14:paraId="7A662B8C" w14:textId="77777777" w:rsidR="007573FA" w:rsidRPr="0070522D" w:rsidRDefault="007573FA">
            <w:pPr>
              <w:pStyle w:val="BodyText"/>
              <w:ind w:firstLine="0"/>
              <w:rPr>
                <w:rFonts w:ascii="Arial Narrow" w:hAnsi="Arial Narrow"/>
                <w:b/>
                <w:bCs/>
              </w:rPr>
            </w:pPr>
            <w:r w:rsidRPr="0070522D">
              <w:rPr>
                <w:rFonts w:ascii="Arial Narrow" w:hAnsi="Arial Narrow"/>
                <w:b/>
                <w:bCs/>
              </w:rPr>
              <w:t>Statistic</w:t>
            </w:r>
          </w:p>
        </w:tc>
        <w:tc>
          <w:tcPr>
            <w:tcW w:w="3595" w:type="dxa"/>
          </w:tcPr>
          <w:p w14:paraId="3CA18755" w14:textId="77777777" w:rsidR="007573FA" w:rsidRPr="0070522D" w:rsidRDefault="007573FA">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Pr>
                <w:rFonts w:ascii="Arial Narrow" w:hAnsi="Arial Narrow"/>
                <w:b/>
                <w:bCs/>
              </w:rPr>
              <w:t xml:space="preserve"> (mm)</w:t>
            </w:r>
          </w:p>
        </w:tc>
      </w:tr>
      <w:tr w:rsidR="00753A36" w:rsidRPr="00937742" w14:paraId="797983B6" w14:textId="77777777">
        <w:tc>
          <w:tcPr>
            <w:tcW w:w="3955" w:type="dxa"/>
          </w:tcPr>
          <w:p w14:paraId="50A3CAA4" w14:textId="086057C1" w:rsidR="00753A36" w:rsidRPr="0070522D" w:rsidRDefault="00753A36" w:rsidP="00753A36">
            <w:pPr>
              <w:pStyle w:val="BodyText"/>
              <w:ind w:firstLine="0"/>
              <w:rPr>
                <w:rFonts w:ascii="Arial Narrow" w:hAnsi="Arial Narrow"/>
              </w:rPr>
            </w:pPr>
            <w:r>
              <w:rPr>
                <w:rFonts w:ascii="Arial Narrow" w:hAnsi="Arial Narrow"/>
              </w:rPr>
              <w:t>Mean</w:t>
            </w:r>
            <w:r w:rsidRPr="00937742">
              <w:rPr>
                <w:rFonts w:ascii="Arial Narrow" w:hAnsi="Arial Narrow"/>
              </w:rPr>
              <w:t xml:space="preserve"> annual total</w:t>
            </w:r>
          </w:p>
        </w:tc>
        <w:tc>
          <w:tcPr>
            <w:tcW w:w="3595" w:type="dxa"/>
          </w:tcPr>
          <w:p w14:paraId="36A1D51D" w14:textId="384C1E6F" w:rsidR="00753A36" w:rsidRPr="0070522D" w:rsidRDefault="00753A36" w:rsidP="00753A36">
            <w:pPr>
              <w:pStyle w:val="BodyText"/>
              <w:ind w:firstLine="0"/>
              <w:rPr>
                <w:rFonts w:ascii="Arial Narrow" w:hAnsi="Arial Narrow"/>
              </w:rPr>
            </w:pPr>
            <w:r>
              <w:rPr>
                <w:rFonts w:ascii="Arial Narrow" w:hAnsi="Arial Narrow"/>
              </w:rPr>
              <w:t>2453</w:t>
            </w:r>
          </w:p>
        </w:tc>
      </w:tr>
      <w:tr w:rsidR="00753A36" w:rsidRPr="00937742" w14:paraId="778581F7" w14:textId="77777777">
        <w:tc>
          <w:tcPr>
            <w:tcW w:w="3955" w:type="dxa"/>
          </w:tcPr>
          <w:p w14:paraId="45BED693" w14:textId="459B8EEE" w:rsidR="00753A36" w:rsidRPr="0070522D" w:rsidRDefault="00753A36" w:rsidP="00753A36">
            <w:pPr>
              <w:pStyle w:val="BodyText"/>
              <w:ind w:firstLine="0"/>
              <w:rPr>
                <w:rFonts w:ascii="Arial Narrow" w:hAnsi="Arial Narrow"/>
              </w:rPr>
            </w:pPr>
            <w:r>
              <w:rPr>
                <w:rFonts w:ascii="Arial Narrow" w:hAnsi="Arial Narrow"/>
              </w:rPr>
              <w:t>Mean</w:t>
            </w:r>
            <w:r w:rsidRPr="00937742">
              <w:rPr>
                <w:rFonts w:ascii="Arial Narrow" w:hAnsi="Arial Narrow"/>
              </w:rPr>
              <w:t xml:space="preserve"> monthly</w:t>
            </w:r>
          </w:p>
        </w:tc>
        <w:tc>
          <w:tcPr>
            <w:tcW w:w="3595" w:type="dxa"/>
          </w:tcPr>
          <w:p w14:paraId="453AB02D" w14:textId="4DBE5F28" w:rsidR="00753A36" w:rsidRPr="0070522D" w:rsidRDefault="00753A36" w:rsidP="00753A36">
            <w:pPr>
              <w:pStyle w:val="BodyText"/>
              <w:ind w:firstLine="0"/>
              <w:rPr>
                <w:rFonts w:ascii="Arial Narrow" w:hAnsi="Arial Narrow"/>
              </w:rPr>
            </w:pPr>
            <w:r>
              <w:rPr>
                <w:rFonts w:ascii="Arial Narrow" w:hAnsi="Arial Narrow"/>
              </w:rPr>
              <w:t>213</w:t>
            </w:r>
          </w:p>
        </w:tc>
      </w:tr>
      <w:tr w:rsidR="00753A36" w:rsidRPr="00937742" w14:paraId="6C034394" w14:textId="77777777">
        <w:tc>
          <w:tcPr>
            <w:tcW w:w="3955" w:type="dxa"/>
          </w:tcPr>
          <w:p w14:paraId="57D7D5D8" w14:textId="20938A49" w:rsidR="00753A36" w:rsidRPr="0070522D" w:rsidRDefault="00753A36" w:rsidP="00753A36">
            <w:pPr>
              <w:pStyle w:val="BodyText"/>
              <w:ind w:firstLine="0"/>
              <w:rPr>
                <w:rFonts w:ascii="Arial Narrow" w:hAnsi="Arial Narrow"/>
              </w:rPr>
            </w:pPr>
            <w:r>
              <w:rPr>
                <w:rFonts w:ascii="Arial Narrow" w:hAnsi="Arial Narrow"/>
              </w:rPr>
              <w:t>Mean</w:t>
            </w:r>
            <w:r w:rsidRPr="00937742">
              <w:rPr>
                <w:rFonts w:ascii="Arial Narrow" w:hAnsi="Arial Narrow"/>
              </w:rPr>
              <w:t xml:space="preserve"> min</w:t>
            </w:r>
            <w:r w:rsidRPr="0070522D">
              <w:rPr>
                <w:rFonts w:ascii="Arial Narrow" w:hAnsi="Arial Narrow"/>
              </w:rPr>
              <w:t>imum</w:t>
            </w:r>
            <w:r w:rsidRPr="00937742">
              <w:rPr>
                <w:rFonts w:ascii="Arial Narrow" w:hAnsi="Arial Narrow"/>
              </w:rPr>
              <w:t xml:space="preserve"> monthly</w:t>
            </w:r>
          </w:p>
        </w:tc>
        <w:tc>
          <w:tcPr>
            <w:tcW w:w="3595" w:type="dxa"/>
          </w:tcPr>
          <w:p w14:paraId="0E3395B7" w14:textId="71DC33F7" w:rsidR="00753A36" w:rsidRPr="0070522D" w:rsidRDefault="00753A36" w:rsidP="00753A36">
            <w:pPr>
              <w:pStyle w:val="BodyText"/>
              <w:ind w:firstLine="0"/>
              <w:rPr>
                <w:rFonts w:ascii="Arial Narrow" w:hAnsi="Arial Narrow"/>
              </w:rPr>
            </w:pPr>
            <w:r>
              <w:rPr>
                <w:rFonts w:ascii="Arial Narrow" w:hAnsi="Arial Narrow"/>
              </w:rPr>
              <w:t>132</w:t>
            </w:r>
          </w:p>
        </w:tc>
      </w:tr>
      <w:tr w:rsidR="00753A36" w:rsidRPr="00937742" w14:paraId="765DBF5A" w14:textId="77777777">
        <w:tc>
          <w:tcPr>
            <w:tcW w:w="3955" w:type="dxa"/>
          </w:tcPr>
          <w:p w14:paraId="54446426" w14:textId="6CD40C60" w:rsidR="00753A36" w:rsidRPr="0070522D" w:rsidRDefault="00753A36" w:rsidP="00753A36">
            <w:pPr>
              <w:pStyle w:val="BodyText"/>
              <w:ind w:firstLine="0"/>
              <w:rPr>
                <w:rFonts w:ascii="Arial Narrow" w:hAnsi="Arial Narrow"/>
              </w:rPr>
            </w:pPr>
            <w:r>
              <w:rPr>
                <w:rFonts w:ascii="Arial Narrow" w:hAnsi="Arial Narrow"/>
              </w:rPr>
              <w:t>Mean</w:t>
            </w:r>
            <w:r w:rsidRPr="00937742">
              <w:rPr>
                <w:rFonts w:ascii="Arial Narrow" w:hAnsi="Arial Narrow"/>
              </w:rPr>
              <w:t xml:space="preserve"> max</w:t>
            </w:r>
            <w:r w:rsidRPr="0070522D">
              <w:rPr>
                <w:rFonts w:ascii="Arial Narrow" w:hAnsi="Arial Narrow"/>
              </w:rPr>
              <w:t>imum</w:t>
            </w:r>
            <w:r w:rsidRPr="00937742">
              <w:rPr>
                <w:rFonts w:ascii="Arial Narrow" w:hAnsi="Arial Narrow"/>
              </w:rPr>
              <w:t xml:space="preserve"> monthly</w:t>
            </w:r>
          </w:p>
        </w:tc>
        <w:tc>
          <w:tcPr>
            <w:tcW w:w="3595" w:type="dxa"/>
          </w:tcPr>
          <w:p w14:paraId="5EC2E87C" w14:textId="7252C06B" w:rsidR="00753A36" w:rsidRPr="0070522D" w:rsidRDefault="00753A36" w:rsidP="00753A36">
            <w:pPr>
              <w:pStyle w:val="BodyText"/>
              <w:ind w:firstLine="0"/>
              <w:rPr>
                <w:rFonts w:ascii="Arial Narrow" w:hAnsi="Arial Narrow"/>
              </w:rPr>
            </w:pPr>
            <w:r>
              <w:rPr>
                <w:rFonts w:ascii="Arial Narrow" w:hAnsi="Arial Narrow"/>
              </w:rPr>
              <w:t>340</w:t>
            </w:r>
          </w:p>
        </w:tc>
      </w:tr>
    </w:tbl>
    <w:p w14:paraId="0F93965C" w14:textId="77777777" w:rsidR="00AB4A25" w:rsidRDefault="00AB4A25" w:rsidP="007573FA">
      <w:pPr>
        <w:pStyle w:val="BodyText"/>
        <w:ind w:firstLine="0"/>
      </w:pPr>
    </w:p>
    <w:p w14:paraId="5218C7D2" w14:textId="0CDF8246" w:rsidR="003E0AE2" w:rsidRPr="003E0AE2" w:rsidRDefault="003E0AE2" w:rsidP="003E0AE2">
      <w:pPr>
        <w:pStyle w:val="BodyText"/>
      </w:pPr>
      <w:r w:rsidRPr="003E0AE2">
        <w:t>Honiara experiences a distinctly seasonal tropical climate, with monthly rainfall totals typically ranging from very low amounts in the dry season to several hundred millimeters during the wet season. Although precipitation occurs throughout the year, the annual cycle is strongly defined, with substantially higher rainfall commonly observed from November through April (</w:t>
      </w:r>
      <w:r w:rsidR="00297D52">
        <w:fldChar w:fldCharType="begin"/>
      </w:r>
      <w:r w:rsidR="00297D52">
        <w:instrText xml:space="preserve"> REF _Ref226965708 \h </w:instrText>
      </w:r>
      <w:r w:rsidR="00297D52">
        <w:fldChar w:fldCharType="separate"/>
      </w:r>
      <w:r w:rsidR="00297D52" w:rsidRPr="00A213F2">
        <w:rPr>
          <w:rFonts w:ascii="Arial Narrow" w:hAnsi="Arial Narrow"/>
        </w:rPr>
        <w:t xml:space="preserve">Figure </w:t>
      </w:r>
      <w:r w:rsidR="00297D52">
        <w:rPr>
          <w:rFonts w:ascii="Arial Narrow" w:hAnsi="Arial Narrow"/>
          <w:noProof/>
        </w:rPr>
        <w:t>4</w:t>
      </w:r>
      <w:r w:rsidR="00297D52">
        <w:fldChar w:fldCharType="end"/>
      </w:r>
      <w:r w:rsidR="00297D52">
        <w:t>)</w:t>
      </w:r>
      <w:r w:rsidRPr="003E0AE2">
        <w:t>. Several wet</w:t>
      </w:r>
      <w:r w:rsidRPr="003E0AE2">
        <w:noBreakHyphen/>
        <w:t>season months exhibit markedly elevated precipitation—often associated with monsoon surges, tropical disturbances, or periods of enhanced convection—illustrating the potential for short</w:t>
      </w:r>
      <w:r w:rsidRPr="003E0AE2">
        <w:noBreakHyphen/>
        <w:t>duration but intense wet months across northwest Guadalcanal. In contrast, the dry season regularly produces months with very limited rainfall, reflecting the well</w:t>
      </w:r>
      <w:r w:rsidRPr="003E0AE2">
        <w:noBreakHyphen/>
        <w:t>documented dry</w:t>
      </w:r>
      <w:r w:rsidRPr="003E0AE2">
        <w:noBreakHyphen/>
        <w:t>zone characteristics of Honiara’s leeward northwest coastal setting. These dry periods can lead to significant reductions in surface water availability and increased pressure on supply systems.</w:t>
      </w:r>
    </w:p>
    <w:p w14:paraId="2C80D932" w14:textId="7F83A4D9" w:rsidR="00AB4A25" w:rsidRDefault="00DA36C8" w:rsidP="007573FA">
      <w:pPr>
        <w:pStyle w:val="BodyText"/>
        <w:ind w:firstLine="0"/>
      </w:pPr>
      <w:r>
        <w:rPr>
          <w:noProof/>
        </w:rPr>
        <w:lastRenderedPageBreak/>
        <w:drawing>
          <wp:inline distT="0" distB="0" distL="0" distR="0" wp14:anchorId="6FD09EA8" wp14:editId="5569FFFA">
            <wp:extent cx="5943600" cy="3534770"/>
            <wp:effectExtent l="0" t="0" r="0" b="8890"/>
            <wp:docPr id="1859157978" name="Chart 1">
              <a:extLst xmlns:a="http://schemas.openxmlformats.org/drawingml/2006/main">
                <a:ext uri="{FF2B5EF4-FFF2-40B4-BE49-F238E27FC236}">
                  <a16:creationId xmlns:a16="http://schemas.microsoft.com/office/drawing/2014/main" id="{29F0EB65-7817-42B8-A0C3-9EF5144845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8916D9B" w14:textId="23F6173F" w:rsidR="007573FA" w:rsidRPr="00A213F2" w:rsidRDefault="007573FA" w:rsidP="007573FA">
      <w:pPr>
        <w:pStyle w:val="Caption"/>
        <w:rPr>
          <w:rFonts w:ascii="Arial Narrow" w:hAnsi="Arial Narrow"/>
        </w:rPr>
      </w:pPr>
      <w:bookmarkStart w:id="47" w:name="_Ref226965708"/>
      <w:bookmarkStart w:id="48" w:name="_Toc226968163"/>
      <w:bookmarkStart w:id="49" w:name="_Toc227691714"/>
      <w:r w:rsidRPr="00A213F2">
        <w:rPr>
          <w:rFonts w:ascii="Arial Narrow" w:hAnsi="Arial Narrow"/>
        </w:rPr>
        <w:t xml:space="preserve">Figure </w:t>
      </w:r>
      <w:r w:rsidRPr="00A213F2">
        <w:rPr>
          <w:rFonts w:ascii="Arial Narrow" w:hAnsi="Arial Narrow"/>
        </w:rPr>
        <w:fldChar w:fldCharType="begin"/>
      </w:r>
      <w:r w:rsidRPr="00A213F2">
        <w:rPr>
          <w:rFonts w:ascii="Arial Narrow" w:hAnsi="Arial Narrow"/>
        </w:rPr>
        <w:instrText xml:space="preserve"> SEQ Figure \* ARABIC </w:instrText>
      </w:r>
      <w:r w:rsidRPr="00A213F2">
        <w:rPr>
          <w:rFonts w:ascii="Arial Narrow" w:hAnsi="Arial Narrow"/>
        </w:rPr>
        <w:fldChar w:fldCharType="separate"/>
      </w:r>
      <w:r w:rsidR="00EB6CD8">
        <w:rPr>
          <w:rFonts w:ascii="Arial Narrow" w:hAnsi="Arial Narrow"/>
          <w:noProof/>
        </w:rPr>
        <w:t>4</w:t>
      </w:r>
      <w:r w:rsidRPr="00A213F2">
        <w:rPr>
          <w:rFonts w:ascii="Arial Narrow" w:hAnsi="Arial Narrow"/>
        </w:rPr>
        <w:fldChar w:fldCharType="end"/>
      </w:r>
      <w:bookmarkEnd w:id="47"/>
      <w:r w:rsidRPr="00A213F2">
        <w:rPr>
          <w:rFonts w:ascii="Arial Narrow" w:hAnsi="Arial Narrow"/>
        </w:rPr>
        <w:t>. Monthly precipitation for years 1998 - 2025 in mm.</w:t>
      </w:r>
      <w:bookmarkEnd w:id="48"/>
      <w:bookmarkEnd w:id="49"/>
    </w:p>
    <w:p w14:paraId="2E26D1CA" w14:textId="77777777" w:rsidR="007573FA" w:rsidRPr="009F43CC" w:rsidRDefault="007573FA" w:rsidP="007573FA">
      <w:pPr>
        <w:pStyle w:val="BodyText"/>
        <w:ind w:firstLine="0"/>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15203D6F" w14:textId="7C8D850C" w:rsidR="001F0D89" w:rsidRPr="001F0D89" w:rsidRDefault="001F0D89" w:rsidP="001F0D89">
      <w:pPr>
        <w:pStyle w:val="BodyText"/>
      </w:pPr>
      <w:r w:rsidRPr="001F0D89">
        <w:t>Annual precipitation in the Honiara region varies from year to year, with totals generally clustering around the long</w:t>
      </w:r>
      <w:r w:rsidRPr="001F0D89">
        <w:noBreakHyphen/>
        <w:t>term average but showing notable excursions during years influenced by strong regional climate anomalies, including ENSO</w:t>
      </w:r>
      <w:r w:rsidRPr="001F0D89">
        <w:noBreakHyphen/>
        <w:t>related droughts and enhanced monsoon activity (</w:t>
      </w:r>
      <w:r w:rsidR="00EF1CCB">
        <w:fldChar w:fldCharType="begin"/>
      </w:r>
      <w:r w:rsidR="00EF1CCB">
        <w:instrText xml:space="preserve"> REF _Ref227270545 \h </w:instrText>
      </w:r>
      <w:r w:rsidR="00EF1CCB">
        <w:fldChar w:fldCharType="separate"/>
      </w:r>
      <w:r w:rsidR="00EF1CCB" w:rsidRPr="009C3F0E">
        <w:rPr>
          <w:rFonts w:ascii="Arial Narrow" w:hAnsi="Arial Narrow"/>
        </w:rPr>
        <w:t xml:space="preserve">Figure </w:t>
      </w:r>
      <w:r w:rsidR="00EF1CCB">
        <w:rPr>
          <w:rFonts w:ascii="Arial Narrow" w:hAnsi="Arial Narrow"/>
          <w:noProof/>
        </w:rPr>
        <w:t>5</w:t>
      </w:r>
      <w:r w:rsidR="00EF1CCB">
        <w:fldChar w:fldCharType="end"/>
      </w:r>
      <w:r w:rsidRPr="001F0D89">
        <w:t>). Some years exhibit substantially elevated rainfall associated with active monsoon phases or tropical cyclone influences, while other years fall well below average, reflecting the city’s sensitivity to synoptic</w:t>
      </w:r>
      <w:r w:rsidRPr="001F0D89">
        <w:noBreakHyphen/>
        <w:t>scale patterns and shifts in the broader Pacific climate system. Despite interannual variability, long</w:t>
      </w:r>
      <w:r w:rsidRPr="001F0D89">
        <w:noBreakHyphen/>
        <w:t>term IMERG records show no persistent trend toward sustained multi</w:t>
      </w:r>
      <w:r w:rsidRPr="001F0D89">
        <w:noBreakHyphen/>
        <w:t>year wetness or dryness, and year</w:t>
      </w:r>
      <w:r w:rsidRPr="001F0D89">
        <w:noBreakHyphen/>
        <w:t>to</w:t>
      </w:r>
      <w:r w:rsidRPr="001F0D89">
        <w:noBreakHyphen/>
        <w:t>year fluctuations largely remain within the expected historical range for the region.</w:t>
      </w:r>
    </w:p>
    <w:p w14:paraId="224AFD3D" w14:textId="10E18AA4" w:rsidR="007573FA" w:rsidRPr="00776C21" w:rsidRDefault="007573FA" w:rsidP="007573FA">
      <w:pPr>
        <w:pStyle w:val="BodyText"/>
      </w:pPr>
    </w:p>
    <w:p w14:paraId="31E1D23F" w14:textId="72A89973" w:rsidR="007573FA" w:rsidRDefault="007573FA" w:rsidP="007573FA">
      <w:pPr>
        <w:pStyle w:val="BodyText"/>
      </w:pPr>
    </w:p>
    <w:p w14:paraId="6D1E07FC" w14:textId="5961CAD9" w:rsidR="0071575F" w:rsidRDefault="00105C7B" w:rsidP="007573FA">
      <w:pPr>
        <w:pStyle w:val="Caption"/>
        <w:rPr>
          <w:rFonts w:ascii="Arial Narrow" w:hAnsi="Arial Narrow"/>
        </w:rPr>
      </w:pPr>
      <w:bookmarkStart w:id="50" w:name="_Ref226965497"/>
      <w:bookmarkStart w:id="51" w:name="_Toc226968164"/>
      <w:r>
        <w:rPr>
          <w:noProof/>
        </w:rPr>
        <w:drawing>
          <wp:inline distT="0" distB="0" distL="0" distR="0" wp14:anchorId="2F9BCCEE" wp14:editId="088D2C0B">
            <wp:extent cx="5943600" cy="3739486"/>
            <wp:effectExtent l="0" t="0" r="0" b="0"/>
            <wp:docPr id="32726559" name="Chart 1">
              <a:extLst xmlns:a="http://schemas.openxmlformats.org/drawingml/2006/main">
                <a:ext uri="{FF2B5EF4-FFF2-40B4-BE49-F238E27FC236}">
                  <a16:creationId xmlns:a16="http://schemas.microsoft.com/office/drawing/2014/main" id="{33A126CD-3F46-4B3B-95F8-091EA3FA33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F4B807F" w14:textId="69F5E2DE" w:rsidR="007573FA" w:rsidRPr="009C3F0E" w:rsidRDefault="007573FA" w:rsidP="007573FA">
      <w:pPr>
        <w:pStyle w:val="Caption"/>
        <w:rPr>
          <w:rFonts w:ascii="Arial Narrow" w:hAnsi="Arial Narrow"/>
        </w:rPr>
      </w:pPr>
      <w:bookmarkStart w:id="52" w:name="_Ref227270545"/>
      <w:bookmarkStart w:id="53" w:name="_Toc227691715"/>
      <w:r w:rsidRPr="009C3F0E">
        <w:rPr>
          <w:rFonts w:ascii="Arial Narrow" w:hAnsi="Arial Narrow"/>
        </w:rPr>
        <w:t xml:space="preserve">Figure </w:t>
      </w:r>
      <w:r w:rsidRPr="009C3F0E">
        <w:rPr>
          <w:rFonts w:ascii="Arial Narrow" w:hAnsi="Arial Narrow"/>
        </w:rPr>
        <w:fldChar w:fldCharType="begin"/>
      </w:r>
      <w:r w:rsidRPr="009C3F0E">
        <w:rPr>
          <w:rFonts w:ascii="Arial Narrow" w:hAnsi="Arial Narrow"/>
        </w:rPr>
        <w:instrText xml:space="preserve"> SEQ Figure \* ARABIC </w:instrText>
      </w:r>
      <w:r w:rsidRPr="009C3F0E">
        <w:rPr>
          <w:rFonts w:ascii="Arial Narrow" w:hAnsi="Arial Narrow"/>
        </w:rPr>
        <w:fldChar w:fldCharType="separate"/>
      </w:r>
      <w:r w:rsidR="00EB6CD8">
        <w:rPr>
          <w:rFonts w:ascii="Arial Narrow" w:hAnsi="Arial Narrow"/>
          <w:noProof/>
        </w:rPr>
        <w:t>5</w:t>
      </w:r>
      <w:r w:rsidRPr="009C3F0E">
        <w:rPr>
          <w:rFonts w:ascii="Arial Narrow" w:hAnsi="Arial Narrow"/>
        </w:rPr>
        <w:fldChar w:fldCharType="end"/>
      </w:r>
      <w:bookmarkEnd w:id="50"/>
      <w:bookmarkEnd w:id="52"/>
      <w:r w:rsidRPr="009C3F0E">
        <w:rPr>
          <w:rFonts w:ascii="Arial Narrow" w:hAnsi="Arial Narrow"/>
        </w:rPr>
        <w:t xml:space="preserve">. Annual precipitation for </w:t>
      </w:r>
      <w:r w:rsidR="00E857A1">
        <w:rPr>
          <w:rFonts w:ascii="Arial Narrow" w:hAnsi="Arial Narrow"/>
        </w:rPr>
        <w:t xml:space="preserve">year </w:t>
      </w:r>
      <w:r w:rsidRPr="009C3F0E">
        <w:rPr>
          <w:rFonts w:ascii="Arial Narrow" w:hAnsi="Arial Narrow"/>
        </w:rPr>
        <w:t xml:space="preserve">1998 </w:t>
      </w:r>
      <w:r>
        <w:rPr>
          <w:rFonts w:ascii="Arial Narrow" w:hAnsi="Arial Narrow"/>
        </w:rPr>
        <w:t>–</w:t>
      </w:r>
      <w:r w:rsidRPr="009C3F0E">
        <w:rPr>
          <w:rFonts w:ascii="Arial Narrow" w:hAnsi="Arial Narrow"/>
        </w:rPr>
        <w:t xml:space="preserve"> 2024 in mm.</w:t>
      </w:r>
      <w:bookmarkEnd w:id="51"/>
      <w:bookmarkEnd w:id="53"/>
    </w:p>
    <w:p w14:paraId="4E8D5829" w14:textId="77777777" w:rsidR="007573FA" w:rsidRPr="009F43CC" w:rsidRDefault="007573FA" w:rsidP="007573FA">
      <w:pPr>
        <w:pStyle w:val="BodyText"/>
        <w:ind w:firstLine="0"/>
        <w:rPr>
          <w:rFonts w:ascii="Arial Narrow" w:hAnsi="Arial Narrow"/>
        </w:rPr>
      </w:pPr>
      <w:r>
        <w:rPr>
          <w:rFonts w:ascii="Arial Narrow" w:hAnsi="Arial Narrow"/>
        </w:rPr>
        <w:tab/>
        <w:t>Alt. text. Bar chart showing annual precipitation for years 1998 to 2024 in mm.</w:t>
      </w:r>
    </w:p>
    <w:p w14:paraId="62458755" w14:textId="6494BA64" w:rsidR="00BB18E3" w:rsidRDefault="00E857A1" w:rsidP="009C4E86">
      <w:pPr>
        <w:pStyle w:val="BodyText"/>
      </w:pPr>
      <w:r w:rsidRPr="00E857A1">
        <w:t>From a water</w:t>
      </w:r>
      <w:r w:rsidRPr="00E857A1">
        <w:noBreakHyphen/>
        <w:t>resource perspective, this range of seasonal and interannual variability highlights the need for careful management of surface water, spring</w:t>
      </w:r>
      <w:r w:rsidRPr="00E857A1">
        <w:noBreakHyphen/>
        <w:t>fed sources, and groundwater systems. Occasional dry months underscore the importance of maintaining supply resilience, while intense wet</w:t>
      </w:r>
      <w:r w:rsidRPr="00E857A1">
        <w:noBreakHyphen/>
        <w:t>season periods can result in elevated turbidity and short</w:t>
      </w:r>
      <w:r w:rsidRPr="00E857A1">
        <w:noBreakHyphen/>
        <w:t>duration runoff peaks that require appropriate operational and treatment responses.</w:t>
      </w:r>
    </w:p>
    <w:p w14:paraId="3A4A570C" w14:textId="77777777" w:rsidR="009F4698" w:rsidRDefault="009F4698" w:rsidP="009F4698">
      <w:pPr>
        <w:pStyle w:val="BodyText"/>
      </w:pPr>
      <w:bookmarkStart w:id="54" w:name="_Toc228286028"/>
    </w:p>
    <w:p w14:paraId="532043F7" w14:textId="6699EDF2" w:rsidR="00A86375" w:rsidRDefault="004B5462" w:rsidP="004B5462">
      <w:pPr>
        <w:pStyle w:val="Head3"/>
      </w:pPr>
      <w:r>
        <w:lastRenderedPageBreak/>
        <w:t>Evapotranspiration</w:t>
      </w:r>
      <w:bookmarkEnd w:id="54"/>
    </w:p>
    <w:p w14:paraId="2266FC55" w14:textId="77777777" w:rsidR="005C2FAD" w:rsidRPr="005C2FAD" w:rsidRDefault="005C2FAD" w:rsidP="005C2FAD">
      <w:pPr>
        <w:pStyle w:val="BodyText"/>
      </w:pPr>
      <w:r w:rsidRPr="005C2FAD">
        <w:t>Because precipitation provides the dominant water input to Guadalcanal’s hydrologic system, understanding how much of this water is subsequently lost to the atmosphere is essential for evaluating freshwater availability in the Honiara region. Evapotranspiration (ET) represents the combined atmospheric water loss from evaporation (soil, water, and surfaces) and transpiration by vegetation (DeJonge and others, 2025), reflecting the influence of solar energy, humidity, wind, and land cover. Actual ET, as estimated by the SSEBop model (Senay and others, 2020), represents the portion of potential ET that is realized under the prevailing surface and atmospheric conditions.</w:t>
      </w:r>
    </w:p>
    <w:p w14:paraId="031610C2" w14:textId="11F5D099" w:rsidR="003E3271" w:rsidRDefault="005C2FAD" w:rsidP="003E3271">
      <w:pPr>
        <w:pStyle w:val="BodyText"/>
      </w:pPr>
      <w:r w:rsidRPr="005C2FAD">
        <w:t>In the Honiara region, ET exhibits seasonal variability but remains considerably more stable than precipitation throughout the year (</w:t>
      </w:r>
      <w:r w:rsidR="00EF1CCB">
        <w:fldChar w:fldCharType="begin"/>
      </w:r>
      <w:r w:rsidR="00EF1CCB">
        <w:instrText xml:space="preserve"> REF _Ref226965899 \h </w:instrText>
      </w:r>
      <w:r w:rsidR="00EF1CCB">
        <w:fldChar w:fldCharType="separate"/>
      </w:r>
      <w:r w:rsidR="00EF1CCB" w:rsidRPr="00C318A8">
        <w:rPr>
          <w:rFonts w:ascii="Arial Narrow" w:hAnsi="Arial Narrow"/>
        </w:rPr>
        <w:t xml:space="preserve">Figure </w:t>
      </w:r>
      <w:r w:rsidR="00EF1CCB">
        <w:rPr>
          <w:rFonts w:ascii="Arial Narrow" w:hAnsi="Arial Narrow"/>
          <w:noProof/>
        </w:rPr>
        <w:t>6</w:t>
      </w:r>
      <w:r w:rsidR="00EF1CCB">
        <w:fldChar w:fldCharType="end"/>
      </w:r>
      <w:r w:rsidRPr="005C2FAD">
        <w:t>). Rainfall shows a pronounced annual cycle, with wet</w:t>
      </w:r>
      <w:r w:rsidRPr="005C2FAD">
        <w:noBreakHyphen/>
        <w:t>season peaks typically from November through April and very dry months during the May–October season. In contrast, monthly actual ET fluctuates within a narrower range, driven primarily by changes in solar radiation, humidity, and cloud cover rather than by moisture limitation. ET generally reaches its lowest values during the wettest months, when high humidity, frequent cloudiness, and reduced incoming solar radiation limit evaporative demand, and increases during the drier and sunnier months when atmospheric demand is greatest. This pattern reflects the partially energy</w:t>
      </w:r>
      <w:r w:rsidRPr="005C2FAD">
        <w:noBreakHyphen/>
        <w:t>limited environment of northwest Guadalcanal, where variability in atmospheric moisture and cloud cover exerts strong control on ET.</w:t>
      </w:r>
    </w:p>
    <w:p w14:paraId="008D8360" w14:textId="2D913110" w:rsidR="003E3271" w:rsidRPr="00C318A8" w:rsidRDefault="001E6AF6" w:rsidP="003E3271">
      <w:r>
        <w:rPr>
          <w:noProof/>
        </w:rPr>
        <w:lastRenderedPageBreak/>
        <w:drawing>
          <wp:inline distT="0" distB="0" distL="0" distR="0" wp14:anchorId="3613F979" wp14:editId="11147F65">
            <wp:extent cx="5943600" cy="3074670"/>
            <wp:effectExtent l="0" t="0" r="0" b="0"/>
            <wp:docPr id="1383546305" name="Chart 1">
              <a:extLst xmlns:a="http://schemas.openxmlformats.org/drawingml/2006/main">
                <a:ext uri="{FF2B5EF4-FFF2-40B4-BE49-F238E27FC236}">
                  <a16:creationId xmlns:a16="http://schemas.microsoft.com/office/drawing/2014/main" id="{FEB2F294-2ED5-4054-9CC0-19FF62D38A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FF5A363" w14:textId="28A9C779" w:rsidR="003E3271" w:rsidRPr="00C318A8" w:rsidRDefault="003E3271" w:rsidP="003E3271">
      <w:pPr>
        <w:pStyle w:val="Caption"/>
        <w:rPr>
          <w:rFonts w:ascii="Arial Narrow" w:hAnsi="Arial Narrow"/>
        </w:rPr>
      </w:pPr>
      <w:bookmarkStart w:id="55" w:name="_Ref226965899"/>
      <w:bookmarkStart w:id="56" w:name="_Toc226968165"/>
      <w:bookmarkStart w:id="57" w:name="_Toc227691716"/>
      <w:r w:rsidRPr="00C318A8">
        <w:rPr>
          <w:rFonts w:ascii="Arial Narrow" w:hAnsi="Arial Narrow"/>
        </w:rPr>
        <w:t xml:space="preserve">Figure </w:t>
      </w:r>
      <w:r w:rsidRPr="00C318A8">
        <w:rPr>
          <w:rFonts w:ascii="Arial Narrow" w:hAnsi="Arial Narrow"/>
        </w:rPr>
        <w:fldChar w:fldCharType="begin"/>
      </w:r>
      <w:r w:rsidRPr="00C318A8">
        <w:rPr>
          <w:rFonts w:ascii="Arial Narrow" w:hAnsi="Arial Narrow"/>
        </w:rPr>
        <w:instrText xml:space="preserve"> SEQ Figure \* ARABIC </w:instrText>
      </w:r>
      <w:r w:rsidRPr="00C318A8">
        <w:rPr>
          <w:rFonts w:ascii="Arial Narrow" w:hAnsi="Arial Narrow"/>
        </w:rPr>
        <w:fldChar w:fldCharType="separate"/>
      </w:r>
      <w:r w:rsidR="00EB6CD8">
        <w:rPr>
          <w:rFonts w:ascii="Arial Narrow" w:hAnsi="Arial Narrow"/>
          <w:noProof/>
        </w:rPr>
        <w:t>6</w:t>
      </w:r>
      <w:r w:rsidRPr="00C318A8">
        <w:rPr>
          <w:rFonts w:ascii="Arial Narrow" w:hAnsi="Arial Narrow"/>
        </w:rPr>
        <w:fldChar w:fldCharType="end"/>
      </w:r>
      <w:bookmarkEnd w:id="55"/>
      <w:r w:rsidRPr="00C318A8">
        <w:rPr>
          <w:rFonts w:ascii="Arial Narrow" w:hAnsi="Arial Narrow"/>
        </w:rPr>
        <w:t xml:space="preserve">. </w:t>
      </w:r>
      <w:r w:rsidR="001E6AF6">
        <w:rPr>
          <w:rFonts w:ascii="Arial Narrow" w:hAnsi="Arial Narrow"/>
        </w:rPr>
        <w:t>Mean</w:t>
      </w:r>
      <w:r w:rsidRPr="00C318A8">
        <w:rPr>
          <w:rFonts w:ascii="Arial Narrow" w:hAnsi="Arial Narrow"/>
        </w:rPr>
        <w:t xml:space="preserve"> monthly precipitation and actual ET in mm.</w:t>
      </w:r>
      <w:bookmarkEnd w:id="56"/>
      <w:bookmarkEnd w:id="57"/>
    </w:p>
    <w:p w14:paraId="1D89EF91" w14:textId="77777777" w:rsidR="003E3271" w:rsidRPr="00EA65C9" w:rsidRDefault="003E3271" w:rsidP="003E3271">
      <w:pPr>
        <w:pStyle w:val="BodyText"/>
        <w:ind w:firstLine="0"/>
        <w:rPr>
          <w:rFonts w:ascii="Arial Narrow" w:hAnsi="Arial Narrow"/>
        </w:rPr>
      </w:pPr>
      <w:r>
        <w:rPr>
          <w:rFonts w:ascii="Arial Narrow" w:hAnsi="Arial Narrow"/>
        </w:rPr>
        <w:tab/>
        <w:t xml:space="preserve">Alt. text. Area chart </w:t>
      </w:r>
      <w:proofErr w:type="gramStart"/>
      <w:r>
        <w:rPr>
          <w:rFonts w:ascii="Arial Narrow" w:hAnsi="Arial Narrow"/>
        </w:rPr>
        <w:t>showing</w:t>
      </w:r>
      <w:proofErr w:type="gramEnd"/>
      <w:r>
        <w:rPr>
          <w:rFonts w:ascii="Arial Narrow" w:hAnsi="Arial Narrow"/>
        </w:rPr>
        <w:t xml:space="preserve"> the average monthly precipitation in mm with blue hatch lines and actual ET in mm in green (solid).</w:t>
      </w:r>
    </w:p>
    <w:p w14:paraId="28399D50" w14:textId="33DD44A1" w:rsidR="00A648A9" w:rsidRPr="00A648A9" w:rsidRDefault="003E3271" w:rsidP="00602865">
      <w:pPr>
        <w:pStyle w:val="Caption"/>
        <w:ind w:firstLine="720"/>
      </w:pPr>
      <w:r w:rsidRPr="00CA3446">
        <w:rPr>
          <w:iCs w:val="0"/>
          <w:szCs w:val="24"/>
        </w:rPr>
        <w:t xml:space="preserve">Annual ET totals show similarly limited variability. Across the available record (2013–2025), actual ET varies only modestly from </w:t>
      </w:r>
      <w:r>
        <w:rPr>
          <w:iCs w:val="0"/>
          <w:szCs w:val="24"/>
        </w:rPr>
        <w:t>1</w:t>
      </w:r>
      <w:r w:rsidR="00AC3D6F">
        <w:rPr>
          <w:iCs w:val="0"/>
          <w:szCs w:val="24"/>
        </w:rPr>
        <w:t>184</w:t>
      </w:r>
      <w:r>
        <w:rPr>
          <w:iCs w:val="0"/>
          <w:szCs w:val="24"/>
        </w:rPr>
        <w:t xml:space="preserve"> mm in 20</w:t>
      </w:r>
      <w:r w:rsidR="00AC3D6F">
        <w:rPr>
          <w:iCs w:val="0"/>
          <w:szCs w:val="24"/>
        </w:rPr>
        <w:t>19</w:t>
      </w:r>
      <w:r>
        <w:rPr>
          <w:iCs w:val="0"/>
          <w:szCs w:val="24"/>
        </w:rPr>
        <w:t xml:space="preserve"> to 1</w:t>
      </w:r>
      <w:r w:rsidR="00AC3D6F">
        <w:rPr>
          <w:iCs w:val="0"/>
          <w:szCs w:val="24"/>
        </w:rPr>
        <w:t>261</w:t>
      </w:r>
      <w:r>
        <w:rPr>
          <w:iCs w:val="0"/>
          <w:szCs w:val="24"/>
        </w:rPr>
        <w:t xml:space="preserve"> mm in 202</w:t>
      </w:r>
      <w:r w:rsidR="00AC3D6F">
        <w:rPr>
          <w:iCs w:val="0"/>
          <w:szCs w:val="24"/>
        </w:rPr>
        <w:t>5</w:t>
      </w:r>
      <w:r w:rsidRPr="00CA3446">
        <w:rPr>
          <w:iCs w:val="0"/>
          <w:szCs w:val="24"/>
        </w:rPr>
        <w:t xml:space="preserve"> (</w:t>
      </w:r>
      <w:r w:rsidR="00602865">
        <w:rPr>
          <w:iCs w:val="0"/>
          <w:szCs w:val="24"/>
        </w:rPr>
        <w:fldChar w:fldCharType="begin"/>
      </w:r>
      <w:r w:rsidR="00602865">
        <w:rPr>
          <w:iCs w:val="0"/>
          <w:szCs w:val="24"/>
        </w:rPr>
        <w:instrText xml:space="preserve"> REF _Ref226966404 \h </w:instrText>
      </w:r>
      <w:r w:rsidR="00602865">
        <w:rPr>
          <w:iCs w:val="0"/>
          <w:szCs w:val="24"/>
        </w:rPr>
      </w:r>
      <w:r w:rsidR="00602865">
        <w:rPr>
          <w:iCs w:val="0"/>
          <w:szCs w:val="24"/>
        </w:rPr>
        <w:fldChar w:fldCharType="separate"/>
      </w:r>
      <w:r w:rsidR="00602865" w:rsidRPr="00C318A8">
        <w:rPr>
          <w:rFonts w:ascii="Arial Narrow" w:hAnsi="Arial Narrow"/>
        </w:rPr>
        <w:t xml:space="preserve">Figure </w:t>
      </w:r>
      <w:r w:rsidR="00602865">
        <w:rPr>
          <w:rFonts w:ascii="Arial Narrow" w:hAnsi="Arial Narrow"/>
          <w:noProof/>
        </w:rPr>
        <w:t>7</w:t>
      </w:r>
      <w:r w:rsidR="00602865">
        <w:rPr>
          <w:iCs w:val="0"/>
          <w:szCs w:val="24"/>
        </w:rPr>
        <w:fldChar w:fldCharType="end"/>
      </w:r>
      <w:r w:rsidRPr="00CA3446">
        <w:rPr>
          <w:iCs w:val="0"/>
          <w:szCs w:val="24"/>
        </w:rPr>
        <w:t xml:space="preserve">), with annual totals remaining within a relatively narrow band compared to the much larger interannual fluctuations in precipitation. </w:t>
      </w:r>
      <w:r w:rsidR="00A648A9" w:rsidRPr="00A648A9">
        <w:t>This consistency highlights the energy</w:t>
      </w:r>
      <w:r w:rsidR="00A648A9" w:rsidRPr="00A648A9">
        <w:noBreakHyphen/>
        <w:t>driven nature of ET in Honiara and underscores the dominant role of precipitation in determining hydrologic surplus or deficit across the region.</w:t>
      </w:r>
    </w:p>
    <w:p w14:paraId="2E744A72" w14:textId="285F3ED2" w:rsidR="00E0290C" w:rsidRPr="00E0290C" w:rsidRDefault="0066466E" w:rsidP="00E0290C">
      <w:r>
        <w:rPr>
          <w:noProof/>
        </w:rPr>
        <w:lastRenderedPageBreak/>
        <w:drawing>
          <wp:inline distT="0" distB="0" distL="0" distR="0" wp14:anchorId="68F9BAD4" wp14:editId="43BC9E0B">
            <wp:extent cx="5943600" cy="3548418"/>
            <wp:effectExtent l="0" t="0" r="0" b="0"/>
            <wp:docPr id="1642864324" name="Chart 1">
              <a:extLst xmlns:a="http://schemas.openxmlformats.org/drawingml/2006/main">
                <a:ext uri="{FF2B5EF4-FFF2-40B4-BE49-F238E27FC236}">
                  <a16:creationId xmlns:a16="http://schemas.microsoft.com/office/drawing/2014/main" id="{95C43958-C559-42A3-AD2A-7C52419639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DC48304" w14:textId="4E310A7D" w:rsidR="003E3271" w:rsidRPr="00C318A8" w:rsidRDefault="003E3271" w:rsidP="003E3271">
      <w:pPr>
        <w:pStyle w:val="Caption"/>
        <w:rPr>
          <w:rFonts w:ascii="Arial Narrow" w:hAnsi="Arial Narrow"/>
        </w:rPr>
      </w:pPr>
      <w:bookmarkStart w:id="58" w:name="_Ref226966404"/>
      <w:bookmarkStart w:id="59" w:name="_Toc226968166"/>
      <w:bookmarkStart w:id="60" w:name="_Toc227691717"/>
      <w:r w:rsidRPr="00C318A8">
        <w:rPr>
          <w:rFonts w:ascii="Arial Narrow" w:hAnsi="Arial Narrow"/>
        </w:rPr>
        <w:t xml:space="preserve">Figure </w:t>
      </w:r>
      <w:r w:rsidRPr="00C318A8">
        <w:rPr>
          <w:rFonts w:ascii="Arial Narrow" w:hAnsi="Arial Narrow"/>
        </w:rPr>
        <w:fldChar w:fldCharType="begin"/>
      </w:r>
      <w:r w:rsidRPr="00C318A8">
        <w:rPr>
          <w:rFonts w:ascii="Arial Narrow" w:hAnsi="Arial Narrow"/>
        </w:rPr>
        <w:instrText xml:space="preserve"> SEQ Figure \* ARABIC </w:instrText>
      </w:r>
      <w:r w:rsidRPr="00C318A8">
        <w:rPr>
          <w:rFonts w:ascii="Arial Narrow" w:hAnsi="Arial Narrow"/>
        </w:rPr>
        <w:fldChar w:fldCharType="separate"/>
      </w:r>
      <w:r w:rsidR="00EB6CD8">
        <w:rPr>
          <w:rFonts w:ascii="Arial Narrow" w:hAnsi="Arial Narrow"/>
          <w:noProof/>
        </w:rPr>
        <w:t>7</w:t>
      </w:r>
      <w:r w:rsidRPr="00C318A8">
        <w:rPr>
          <w:rFonts w:ascii="Arial Narrow" w:hAnsi="Arial Narrow"/>
        </w:rPr>
        <w:fldChar w:fldCharType="end"/>
      </w:r>
      <w:bookmarkEnd w:id="58"/>
      <w:r w:rsidRPr="00C318A8">
        <w:rPr>
          <w:rFonts w:ascii="Arial Narrow" w:hAnsi="Arial Narrow"/>
        </w:rPr>
        <w:t>. Annual actual ET for years 2013 - 2025 in mm.</w:t>
      </w:r>
      <w:bookmarkEnd w:id="59"/>
      <w:bookmarkEnd w:id="60"/>
    </w:p>
    <w:p w14:paraId="26E31336" w14:textId="77777777" w:rsidR="003E3271" w:rsidRPr="009F43CC" w:rsidRDefault="003E3271" w:rsidP="003E3271">
      <w:pPr>
        <w:pStyle w:val="BodyText"/>
        <w:ind w:firstLine="0"/>
        <w:rPr>
          <w:rFonts w:ascii="Arial Narrow" w:hAnsi="Arial Narrow"/>
        </w:rPr>
      </w:pPr>
      <w:r>
        <w:rPr>
          <w:rFonts w:ascii="Arial Narrow" w:hAnsi="Arial Narrow"/>
        </w:rPr>
        <w:tab/>
        <w:t>Alt. text. Bar chart with a</w:t>
      </w:r>
      <w:r w:rsidRPr="00144922">
        <w:rPr>
          <w:rFonts w:ascii="Arial Narrow" w:hAnsi="Arial Narrow"/>
        </w:rPr>
        <w:t>nnual actual ET for years 2013 - 2025 in mm</w:t>
      </w:r>
      <w:r>
        <w:rPr>
          <w:rFonts w:ascii="Arial Narrow" w:hAnsi="Arial Narrow"/>
        </w:rPr>
        <w:t>.</w:t>
      </w:r>
    </w:p>
    <w:p w14:paraId="7894C382" w14:textId="54381A36" w:rsidR="00BB18E3" w:rsidRDefault="00A648A9" w:rsidP="009C4E86">
      <w:pPr>
        <w:pStyle w:val="BodyText"/>
      </w:pPr>
      <w:r w:rsidRPr="00A648A9">
        <w:t>The relative stability of ET, combined with the strong rainfall seasonality of northwest Guadalcanal, results in hydrologic conditions that are highly sensitive to even moderate reductions in precipitation. During prolonged dry periods or ENSO</w:t>
      </w:r>
      <w:r w:rsidRPr="00A648A9">
        <w:noBreakHyphen/>
        <w:t>related droughts, the steady atmospheric demand for ET can quickly produce deficits in streamflow and spring discharge. Conversely, during intense wet</w:t>
      </w:r>
      <w:r w:rsidRPr="00A648A9">
        <w:noBreakHyphen/>
        <w:t>season events, high rainfall combined with lower ET can generate rapid runoff and turbidity increases. Water</w:t>
      </w:r>
      <w:r w:rsidRPr="00A648A9">
        <w:noBreakHyphen/>
        <w:t>resource planning for the Honiara region should therefore account for strong seasonal contrasts in atmospheric demand, recurring dry</w:t>
      </w:r>
      <w:r w:rsidRPr="00A648A9">
        <w:noBreakHyphen/>
        <w:t>season deficits, and the need for storage and operational flexibility during extreme wet</w:t>
      </w:r>
      <w:r w:rsidRPr="00A648A9">
        <w:noBreakHyphen/>
        <w:t>season rainfall.</w:t>
      </w:r>
    </w:p>
    <w:p w14:paraId="66A1D4D6" w14:textId="22F18CBF" w:rsidR="004B5462" w:rsidRDefault="004B5462" w:rsidP="004B5462">
      <w:pPr>
        <w:pStyle w:val="Head3"/>
      </w:pPr>
      <w:bookmarkStart w:id="61" w:name="_Toc228286029"/>
      <w:r>
        <w:lastRenderedPageBreak/>
        <w:t>Water Balance</w:t>
      </w:r>
      <w:bookmarkEnd w:id="61"/>
    </w:p>
    <w:p w14:paraId="1DB4E6E5" w14:textId="1F3ED5C0" w:rsidR="00C65F36" w:rsidRDefault="00C65F36" w:rsidP="00C65F36">
      <w:pPr>
        <w:pStyle w:val="BodyText"/>
      </w:pPr>
      <w:r w:rsidRPr="00E46C96">
        <w:t xml:space="preserve">The water balance, or net water availability, represents the surplus of water remaining after subtracting actual ET from precipitation (P) at monthly and annual scales. </w:t>
      </w:r>
      <w:r>
        <w:t xml:space="preserve">The water balance </w:t>
      </w:r>
      <w:r w:rsidRPr="00E33C63">
        <w:t xml:space="preserve">is computed as </w:t>
      </w:r>
      <w:r>
        <w:t xml:space="preserve">difference between P and ETa (P- </w:t>
      </w:r>
      <w:proofErr w:type="gramStart"/>
      <w:r>
        <w:t>ETa)</w:t>
      </w:r>
      <w:r w:rsidRPr="00E33C63">
        <w:t>)</w:t>
      </w:r>
      <w:proofErr w:type="gramEnd"/>
      <w:r w:rsidRPr="00E33C63">
        <w:t xml:space="preserve"> at monthly and annual scales. </w:t>
      </w:r>
      <w:r>
        <w:t xml:space="preserve"> Although change in storage can be considered negligible at annual time scales, the monthly water balance does not </w:t>
      </w:r>
      <w:proofErr w:type="gramStart"/>
      <w:r>
        <w:t>take into account</w:t>
      </w:r>
      <w:proofErr w:type="gramEnd"/>
      <w:r>
        <w:t xml:space="preserve"> storage changes in the system and thus should only be consulted as a relative indicator of P and ETa.</w:t>
      </w:r>
    </w:p>
    <w:p w14:paraId="3136275A" w14:textId="1658C6D5" w:rsidR="00B04D39" w:rsidRPr="00B04D39" w:rsidRDefault="00203CB3" w:rsidP="00B04D39">
      <w:pPr>
        <w:pStyle w:val="BodyText"/>
      </w:pPr>
      <w:r>
        <w:t>I</w:t>
      </w:r>
      <w:r w:rsidR="00DD7A31" w:rsidRPr="00DD7A31">
        <w:t>n the Honiara region, monthly net water availability exhibits a strong seasonal pattern reflecting the pronounced transition between the wet and dry seasons characteristic of northwest Guadalcanal. Wet</w:t>
      </w:r>
      <w:r w:rsidR="00DD7A31" w:rsidRPr="00DD7A31">
        <w:noBreakHyphen/>
        <w:t>season months (typically November–April) frequently produce substantial surpluses</w:t>
      </w:r>
      <w:r>
        <w:t xml:space="preserve">, such as </w:t>
      </w:r>
      <w:r w:rsidR="00342914">
        <w:t>April 2014 (785 mm), January 2024 (665</w:t>
      </w:r>
      <w:r w:rsidR="008F6714">
        <w:t xml:space="preserve"> mm</w:t>
      </w:r>
      <w:r w:rsidR="00342914">
        <w:t>)</w:t>
      </w:r>
      <w:r w:rsidR="008F6714">
        <w:t xml:space="preserve"> and February 2021 (527 mm)</w:t>
      </w:r>
      <w:r w:rsidR="00DD7A31" w:rsidRPr="00DD7A31">
        <w:t>, with several months showing large positive values when intense rainfall coincides with lower evaporative demand</w:t>
      </w:r>
      <w:r w:rsidR="00B04D39">
        <w:t xml:space="preserve"> (</w:t>
      </w:r>
      <w:r w:rsidR="009735D4">
        <w:fldChar w:fldCharType="begin"/>
      </w:r>
      <w:r w:rsidR="009735D4">
        <w:instrText xml:space="preserve"> REF _Ref226966881 \h </w:instrText>
      </w:r>
      <w:r w:rsidR="009735D4">
        <w:fldChar w:fldCharType="separate"/>
      </w:r>
      <w:r w:rsidR="009735D4" w:rsidRPr="00121C43">
        <w:rPr>
          <w:rFonts w:ascii="Arial Narrow" w:hAnsi="Arial Narrow"/>
        </w:rPr>
        <w:t xml:space="preserve">Figure </w:t>
      </w:r>
      <w:r w:rsidR="009735D4">
        <w:rPr>
          <w:rFonts w:ascii="Arial Narrow" w:hAnsi="Arial Narrow"/>
          <w:noProof/>
        </w:rPr>
        <w:t>8</w:t>
      </w:r>
      <w:r w:rsidR="009735D4">
        <w:fldChar w:fldCharType="end"/>
      </w:r>
      <w:r w:rsidR="00B04D39">
        <w:t>)</w:t>
      </w:r>
      <w:r w:rsidR="00DD7A31" w:rsidRPr="00DD7A31">
        <w:t xml:space="preserve">. </w:t>
      </w:r>
      <w:r w:rsidR="00B04D39" w:rsidRPr="00B04D39">
        <w:t>Conversely, dry</w:t>
      </w:r>
      <w:r w:rsidR="00B04D39" w:rsidRPr="00B04D39">
        <w:noBreakHyphen/>
        <w:t>season months regularly show reduced surpluses or distinct deficits</w:t>
      </w:r>
      <w:r w:rsidR="00B04D39">
        <w:t xml:space="preserve">, such as </w:t>
      </w:r>
      <w:r w:rsidR="00ED635C">
        <w:t>August 2015 (-35 mm)</w:t>
      </w:r>
      <w:r w:rsidR="00B04D39" w:rsidRPr="00B04D39">
        <w:t xml:space="preserve"> when ET exceeds precipitation. These negative values are particularly common during May–October, when atmospheric demand remains relatively high, but precipitation is limited. Individual months during strong ENSO</w:t>
      </w:r>
      <w:r w:rsidR="00B04D39" w:rsidRPr="00B04D39">
        <w:noBreakHyphen/>
        <w:t>related droughts can experience especially pronounced deficits, underscoring the vulnerability of the region’s water resources during prolonged dry periods.</w:t>
      </w:r>
    </w:p>
    <w:p w14:paraId="6E5EDA82" w14:textId="17AFD07C" w:rsidR="00C65F36" w:rsidRDefault="006173B3" w:rsidP="0066466E">
      <w:pPr>
        <w:pStyle w:val="BodyText"/>
        <w:ind w:firstLine="0"/>
      </w:pPr>
      <w:r>
        <w:rPr>
          <w:noProof/>
        </w:rPr>
        <w:lastRenderedPageBreak/>
        <w:drawing>
          <wp:inline distT="0" distB="0" distL="0" distR="0" wp14:anchorId="4CDA06AB" wp14:editId="56D18FE3">
            <wp:extent cx="5943600" cy="3511550"/>
            <wp:effectExtent l="0" t="0" r="0" b="0"/>
            <wp:docPr id="735367247" name="Chart 1">
              <a:extLst xmlns:a="http://schemas.openxmlformats.org/drawingml/2006/main">
                <a:ext uri="{FF2B5EF4-FFF2-40B4-BE49-F238E27FC236}">
                  <a16:creationId xmlns:a16="http://schemas.microsoft.com/office/drawing/2014/main" id="{21148783-1686-4ADA-9D67-05C9ECBBEF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7F19AC6" w14:textId="536EB784" w:rsidR="00C65F36" w:rsidRPr="00121C43" w:rsidRDefault="00C65F36" w:rsidP="00C65F36">
      <w:pPr>
        <w:pStyle w:val="Caption"/>
        <w:rPr>
          <w:rFonts w:ascii="Arial Narrow" w:hAnsi="Arial Narrow"/>
        </w:rPr>
      </w:pPr>
      <w:bookmarkStart w:id="62" w:name="_Ref226966881"/>
      <w:bookmarkStart w:id="63" w:name="_Toc226968167"/>
      <w:bookmarkStart w:id="64" w:name="_Toc227691718"/>
      <w:r w:rsidRPr="00121C43">
        <w:rPr>
          <w:rFonts w:ascii="Arial Narrow" w:hAnsi="Arial Narrow"/>
        </w:rPr>
        <w:t xml:space="preserve">Figure </w:t>
      </w:r>
      <w:r w:rsidRPr="00121C43">
        <w:rPr>
          <w:rFonts w:ascii="Arial Narrow" w:hAnsi="Arial Narrow"/>
        </w:rPr>
        <w:fldChar w:fldCharType="begin"/>
      </w:r>
      <w:r w:rsidRPr="00121C43">
        <w:rPr>
          <w:rFonts w:ascii="Arial Narrow" w:hAnsi="Arial Narrow"/>
        </w:rPr>
        <w:instrText xml:space="preserve"> SEQ Figure \* ARABIC </w:instrText>
      </w:r>
      <w:r w:rsidRPr="00121C43">
        <w:rPr>
          <w:rFonts w:ascii="Arial Narrow" w:hAnsi="Arial Narrow"/>
        </w:rPr>
        <w:fldChar w:fldCharType="separate"/>
      </w:r>
      <w:r w:rsidR="00EB6CD8">
        <w:rPr>
          <w:rFonts w:ascii="Arial Narrow" w:hAnsi="Arial Narrow"/>
          <w:noProof/>
        </w:rPr>
        <w:t>8</w:t>
      </w:r>
      <w:r w:rsidRPr="00121C43">
        <w:rPr>
          <w:rFonts w:ascii="Arial Narrow" w:hAnsi="Arial Narrow"/>
        </w:rPr>
        <w:fldChar w:fldCharType="end"/>
      </w:r>
      <w:bookmarkEnd w:id="62"/>
      <w:r w:rsidRPr="00121C43">
        <w:rPr>
          <w:rFonts w:ascii="Arial Narrow" w:hAnsi="Arial Narrow"/>
        </w:rPr>
        <w:t>. Monthly net water availability for years 2012 - 2025 in mm.</w:t>
      </w:r>
      <w:bookmarkEnd w:id="63"/>
      <w:bookmarkEnd w:id="64"/>
    </w:p>
    <w:p w14:paraId="1ACB66FD" w14:textId="77777777" w:rsidR="00C65F36" w:rsidRPr="00AF309D" w:rsidRDefault="00C65F36" w:rsidP="00C65F36">
      <w:pPr>
        <w:pStyle w:val="BodyText"/>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109876AD" w14:textId="139A046B" w:rsidR="000D477D" w:rsidRPr="000D477D" w:rsidRDefault="000D477D" w:rsidP="000D477D">
      <w:pPr>
        <w:pStyle w:val="BodyText"/>
      </w:pPr>
      <w:r w:rsidRPr="000D477D">
        <w:t>At the annual scale, Honiara’s net water availability varies considerably in response to changes in total precipitation. Years with active monsoon conditions or enhanced tropical convection typically produce substantial surpluses, while years influenced by El Niño events may experience reduced annual totals (</w:t>
      </w:r>
      <w:r w:rsidR="009735D4">
        <w:fldChar w:fldCharType="begin"/>
      </w:r>
      <w:r w:rsidR="009735D4">
        <w:instrText xml:space="preserve"> REF _Ref226966935 \h </w:instrText>
      </w:r>
      <w:r w:rsidR="009735D4">
        <w:fldChar w:fldCharType="separate"/>
      </w:r>
      <w:r w:rsidR="009735D4" w:rsidRPr="00121C43">
        <w:rPr>
          <w:rFonts w:ascii="Arial Narrow" w:hAnsi="Arial Narrow"/>
        </w:rPr>
        <w:t xml:space="preserve">Figure </w:t>
      </w:r>
      <w:r w:rsidR="009735D4">
        <w:rPr>
          <w:rFonts w:ascii="Arial Narrow" w:hAnsi="Arial Narrow"/>
          <w:noProof/>
        </w:rPr>
        <w:t>9</w:t>
      </w:r>
      <w:r w:rsidR="009735D4">
        <w:fldChar w:fldCharType="end"/>
      </w:r>
      <w:r w:rsidRPr="000D477D">
        <w:t>). Despite this variability, annual net water generally remains positive, although the magnitude of surplus is smaller than in high</w:t>
      </w:r>
      <w:r w:rsidRPr="000D477D">
        <w:noBreakHyphen/>
        <w:t>rainfall regions of the central Pacific. Over the most recent period, annual net water availability remains within a moderate range, reflecting the combined influence of stable ET and highly variable precipitation.</w:t>
      </w:r>
    </w:p>
    <w:p w14:paraId="44256FEF" w14:textId="4EDDDCDE" w:rsidR="00A33CCB" w:rsidRDefault="006173B3" w:rsidP="002E22F7">
      <w:pPr>
        <w:pStyle w:val="BodyText"/>
        <w:ind w:firstLine="0"/>
      </w:pPr>
      <w:r>
        <w:rPr>
          <w:noProof/>
        </w:rPr>
        <w:lastRenderedPageBreak/>
        <w:drawing>
          <wp:inline distT="0" distB="0" distL="0" distR="0" wp14:anchorId="138868CA" wp14:editId="62DDAF68">
            <wp:extent cx="5943600" cy="2936240"/>
            <wp:effectExtent l="0" t="0" r="0" b="0"/>
            <wp:docPr id="1435127900" name="Chart 1">
              <a:extLst xmlns:a="http://schemas.openxmlformats.org/drawingml/2006/main">
                <a:ext uri="{FF2B5EF4-FFF2-40B4-BE49-F238E27FC236}">
                  <a16:creationId xmlns:a16="http://schemas.microsoft.com/office/drawing/2014/main" id="{4A0A738B-3B75-44C3-94DE-F1F3B86AFE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E60600A" w14:textId="0A8466E3" w:rsidR="00C65F36" w:rsidRPr="00121C43" w:rsidRDefault="00C65F36" w:rsidP="00C65F36">
      <w:pPr>
        <w:pStyle w:val="Caption"/>
        <w:rPr>
          <w:rFonts w:ascii="Arial Narrow" w:hAnsi="Arial Narrow"/>
        </w:rPr>
      </w:pPr>
      <w:bookmarkStart w:id="65" w:name="_Ref226966935"/>
      <w:bookmarkStart w:id="66" w:name="_Toc226968168"/>
      <w:bookmarkStart w:id="67" w:name="_Toc227691719"/>
      <w:r w:rsidRPr="00121C43">
        <w:rPr>
          <w:rFonts w:ascii="Arial Narrow" w:hAnsi="Arial Narrow"/>
        </w:rPr>
        <w:t xml:space="preserve">Figure </w:t>
      </w:r>
      <w:r w:rsidRPr="00121C43">
        <w:rPr>
          <w:rFonts w:ascii="Arial Narrow" w:hAnsi="Arial Narrow"/>
        </w:rPr>
        <w:fldChar w:fldCharType="begin"/>
      </w:r>
      <w:r w:rsidRPr="00121C43">
        <w:rPr>
          <w:rFonts w:ascii="Arial Narrow" w:hAnsi="Arial Narrow"/>
        </w:rPr>
        <w:instrText xml:space="preserve"> SEQ Figure \* ARABIC </w:instrText>
      </w:r>
      <w:r w:rsidRPr="00121C43">
        <w:rPr>
          <w:rFonts w:ascii="Arial Narrow" w:hAnsi="Arial Narrow"/>
        </w:rPr>
        <w:fldChar w:fldCharType="separate"/>
      </w:r>
      <w:r w:rsidR="00EB6CD8">
        <w:rPr>
          <w:rFonts w:ascii="Arial Narrow" w:hAnsi="Arial Narrow"/>
          <w:noProof/>
        </w:rPr>
        <w:t>9</w:t>
      </w:r>
      <w:r w:rsidRPr="00121C43">
        <w:rPr>
          <w:rFonts w:ascii="Arial Narrow" w:hAnsi="Arial Narrow"/>
        </w:rPr>
        <w:fldChar w:fldCharType="end"/>
      </w:r>
      <w:bookmarkEnd w:id="65"/>
      <w:r w:rsidRPr="00121C43">
        <w:rPr>
          <w:rFonts w:ascii="Arial Narrow" w:hAnsi="Arial Narrow"/>
        </w:rPr>
        <w:t>. Net water availability per year in mm.</w:t>
      </w:r>
      <w:bookmarkEnd w:id="66"/>
      <w:bookmarkEnd w:id="67"/>
    </w:p>
    <w:p w14:paraId="62514D07" w14:textId="77777777" w:rsidR="00C65F36" w:rsidRDefault="00C65F36" w:rsidP="00C65F36">
      <w:pPr>
        <w:pStyle w:val="BodyText"/>
        <w:ind w:left="720" w:firstLine="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4651D350" w14:textId="65FDC615" w:rsidR="00BB18E3" w:rsidRDefault="000D477D" w:rsidP="009655BD">
      <w:pPr>
        <w:pStyle w:val="BodyText"/>
      </w:pPr>
      <w:r w:rsidRPr="000D477D">
        <w:t>Overall, the combination of substantial wet</w:t>
      </w:r>
      <w:r w:rsidRPr="000D477D">
        <w:noBreakHyphen/>
        <w:t>season surpluses and relatively stable ET supports reliable annual freshwater availability for Honiara. However, the recurrence of negative monthly values during the dry season highlights the importance of monitoring short</w:t>
      </w:r>
      <w:r w:rsidRPr="000D477D">
        <w:noBreakHyphen/>
        <w:t>term deficits, ensuring adequate storage reserves, and preparing for high</w:t>
      </w:r>
      <w:r w:rsidRPr="000D477D">
        <w:noBreakHyphen/>
        <w:t>turbidity runoff and short</w:t>
      </w:r>
      <w:r w:rsidRPr="000D477D">
        <w:noBreakHyphen/>
        <w:t>duration flood events during intense wet</w:t>
      </w:r>
      <w:r w:rsidRPr="000D477D">
        <w:noBreakHyphen/>
        <w:t>season rainfall.</w:t>
      </w:r>
    </w:p>
    <w:p w14:paraId="637D113F" w14:textId="77777777" w:rsidR="00B3350B" w:rsidRDefault="00B3350B" w:rsidP="009655BD">
      <w:pPr>
        <w:pStyle w:val="BodyText"/>
      </w:pPr>
    </w:p>
    <w:p w14:paraId="0B5D41F7" w14:textId="77777777" w:rsidR="006152E2" w:rsidRDefault="006152E2" w:rsidP="00E35E55">
      <w:pPr>
        <w:pStyle w:val="Head3"/>
      </w:pPr>
      <w:bookmarkStart w:id="68" w:name="_Toc228286030"/>
      <w:r>
        <w:t xml:space="preserve">Informal </w:t>
      </w:r>
      <w:r w:rsidRPr="00AB771E">
        <w:t>Settlement</w:t>
      </w:r>
      <w:r>
        <w:t xml:space="preserve"> Mapping</w:t>
      </w:r>
      <w:bookmarkEnd w:id="68"/>
    </w:p>
    <w:p w14:paraId="6C9C6B77" w14:textId="5E69D735" w:rsidR="003C3C81" w:rsidRDefault="00182DC3" w:rsidP="00E35E55">
      <w:pPr>
        <w:spacing w:after="120"/>
        <w:rPr>
          <w:rFonts w:eastAsia="Times New Roman" w:cs="Times New Roman"/>
          <w:color w:val="1A1A1A"/>
        </w:rPr>
      </w:pPr>
      <w:r w:rsidRPr="00357ACC">
        <w:rPr>
          <w:rFonts w:eastAsia="Times New Roman" w:cs="Times New Roman"/>
          <w:color w:val="1A1A1A"/>
        </w:rPr>
        <w:t>Honiara, the capital of Solomon Islands, is among the fastest-growing cities in the Pacific region. Situated on the northern coast of Guadalcanal Island, the city has experienced substantial and largely unplanned urban expansion since independence in 1978, driven primarily by rural-to-</w:t>
      </w:r>
      <w:r w:rsidRPr="00357ACC">
        <w:rPr>
          <w:rFonts w:eastAsia="Times New Roman" w:cs="Times New Roman"/>
          <w:color w:val="1A1A1A"/>
        </w:rPr>
        <w:lastRenderedPageBreak/>
        <w:t xml:space="preserve">urban migration from other provinces and natural population increase within the city. The 2021 national census recorded a Honiara City Council population of approximately 92,000, and Moore (2022) </w:t>
      </w:r>
      <w:r w:rsidR="005D12D4" w:rsidRPr="00357ACC">
        <w:rPr>
          <w:rFonts w:eastAsia="Times New Roman" w:cs="Times New Roman"/>
          <w:color w:val="1A1A1A"/>
        </w:rPr>
        <w:t>characterized</w:t>
      </w:r>
      <w:r w:rsidRPr="00357ACC">
        <w:rPr>
          <w:rFonts w:eastAsia="Times New Roman" w:cs="Times New Roman"/>
          <w:color w:val="1A1A1A"/>
        </w:rPr>
        <w:t xml:space="preserve"> the city as a “village-city” shaped far more by its own residents than by formal planners, with an urban character defined by a patchwork of formal suburbs and extensive informal settlements. Keen and Kiddle (2016) documented that informal settlements account for a substantial and growing share of Honiara’s residential fabric, with UN-Habitat profiling indicating that approximately 40 percent of the city’s population lacks legally secure land tenure.</w:t>
      </w:r>
    </w:p>
    <w:p w14:paraId="389AAD50" w14:textId="68FB3603" w:rsidR="00851B23" w:rsidRDefault="00182DC3" w:rsidP="00E35E55">
      <w:pPr>
        <w:spacing w:after="120"/>
        <w:ind w:firstLine="720"/>
      </w:pPr>
      <w:r w:rsidRPr="00357ACC">
        <w:rPr>
          <w:rFonts w:eastAsia="Times New Roman" w:cs="Times New Roman"/>
          <w:color w:val="1A1A1A"/>
        </w:rPr>
        <w:t xml:space="preserve">The urban growth challenge in Honiara is compounded by a highly constrained formal land market. </w:t>
      </w:r>
      <w:proofErr w:type="spellStart"/>
      <w:r w:rsidRPr="00357ACC">
        <w:rPr>
          <w:rFonts w:eastAsia="Times New Roman" w:cs="Times New Roman"/>
          <w:color w:val="1A1A1A"/>
        </w:rPr>
        <w:t>Foukona</w:t>
      </w:r>
      <w:proofErr w:type="spellEnd"/>
      <w:r w:rsidRPr="00357ACC">
        <w:rPr>
          <w:rFonts w:eastAsia="Times New Roman" w:cs="Times New Roman"/>
          <w:color w:val="1A1A1A"/>
        </w:rPr>
        <w:t xml:space="preserve"> (2015) </w:t>
      </w:r>
      <w:r w:rsidR="005D12D4" w:rsidRPr="00357ACC">
        <w:rPr>
          <w:rFonts w:eastAsia="Times New Roman" w:cs="Times New Roman"/>
          <w:color w:val="1A1A1A"/>
        </w:rPr>
        <w:t>analyzed</w:t>
      </w:r>
      <w:r w:rsidRPr="00357ACC">
        <w:rPr>
          <w:rFonts w:eastAsia="Times New Roman" w:cs="Times New Roman"/>
          <w:color w:val="1A1A1A"/>
        </w:rPr>
        <w:t xml:space="preserve"> the multiple barriers through which residents are excluded from formal land access in Honiara, tracing how colonial land alienation policies created a legacy of unresolved customary land claims that continue to constrain affordable housing supply. Moore (2015) </w:t>
      </w:r>
      <w:r w:rsidR="005D12D4" w:rsidRPr="00357ACC">
        <w:rPr>
          <w:rFonts w:eastAsia="Times New Roman" w:cs="Times New Roman"/>
          <w:color w:val="1A1A1A"/>
        </w:rPr>
        <w:t>characterized</w:t>
      </w:r>
      <w:r w:rsidRPr="00357ACC">
        <w:rPr>
          <w:rFonts w:eastAsia="Times New Roman" w:cs="Times New Roman"/>
          <w:color w:val="1A1A1A"/>
        </w:rPr>
        <w:t xml:space="preserve"> Honiara as a Pacific “arrival city”</w:t>
      </w:r>
      <w:r w:rsidR="00CD098A">
        <w:rPr>
          <w:rFonts w:eastAsia="Times New Roman" w:cs="Times New Roman"/>
          <w:color w:val="1A1A1A"/>
        </w:rPr>
        <w:t xml:space="preserve">, </w:t>
      </w:r>
      <w:r w:rsidRPr="00357ACC">
        <w:rPr>
          <w:rFonts w:eastAsia="Times New Roman" w:cs="Times New Roman"/>
          <w:color w:val="1A1A1A"/>
        </w:rPr>
        <w:t>a settlement absorbing migrants who maintain strong ties to their rural home islands while gradually embedding in the urban economy. This pattern of migration and informal settlement is not unique to Honiara; Connell (2011) and the Asian Development Bank (ADB, 2012) document similar dynamics across Melanesian capitals, with urban populations expanding at rates that frequently outpace formal infrastructure provision.</w:t>
      </w:r>
    </w:p>
    <w:p w14:paraId="1F409388" w14:textId="77777777" w:rsidR="001E1BA3" w:rsidRDefault="00182DC3" w:rsidP="00E35E55">
      <w:pPr>
        <w:spacing w:after="120"/>
        <w:ind w:firstLine="720"/>
      </w:pPr>
      <w:r w:rsidRPr="00357ACC">
        <w:rPr>
          <w:rFonts w:eastAsia="Times New Roman" w:cs="Times New Roman"/>
          <w:color w:val="1A1A1A"/>
        </w:rPr>
        <w:t xml:space="preserve">Two informal settlement sites in the western outskirts of Honiara were included in the building footprint study conducted in collaboration with the Strengthening Resilient and Sustainable Urban and Water Service Delivery in the Pacific project of the Water and Urban Development Sector of the Asian Development Bank (ADB): White River and </w:t>
      </w:r>
      <w:proofErr w:type="spellStart"/>
      <w:r w:rsidRPr="00357ACC">
        <w:rPr>
          <w:rFonts w:eastAsia="Times New Roman" w:cs="Times New Roman"/>
          <w:color w:val="1A1A1A"/>
        </w:rPr>
        <w:t>Mbumburu</w:t>
      </w:r>
      <w:proofErr w:type="spellEnd"/>
      <w:r w:rsidRPr="00357ACC">
        <w:rPr>
          <w:rFonts w:eastAsia="Times New Roman" w:cs="Times New Roman"/>
          <w:color w:val="1A1A1A"/>
        </w:rPr>
        <w:t xml:space="preserve">. Both sites lie within the broader Honiara City Council area and represent the kind of peri-urban </w:t>
      </w:r>
      <w:r w:rsidRPr="00357ACC">
        <w:rPr>
          <w:rFonts w:eastAsia="Times New Roman" w:cs="Times New Roman"/>
          <w:color w:val="1A1A1A"/>
        </w:rPr>
        <w:lastRenderedPageBreak/>
        <w:t xml:space="preserve">informal communities that Keen et al. (2017) forecast will accommodate a substantially larger share of Honiara’s projected population growth over the coming decades. </w:t>
      </w:r>
    </w:p>
    <w:p w14:paraId="564F6A99" w14:textId="08437733" w:rsidR="00182DC3" w:rsidRDefault="00182DC3" w:rsidP="00E35E55">
      <w:pPr>
        <w:spacing w:after="120"/>
        <w:ind w:firstLine="720"/>
        <w:rPr>
          <w:rFonts w:eastAsia="Times New Roman" w:cs="Times New Roman"/>
          <w:color w:val="1A1A1A"/>
        </w:rPr>
      </w:pPr>
      <w:r w:rsidRPr="00357ACC">
        <w:rPr>
          <w:rFonts w:eastAsia="Times New Roman" w:cs="Times New Roman"/>
          <w:color w:val="1A1A1A"/>
        </w:rPr>
        <w:t xml:space="preserve">This </w:t>
      </w:r>
      <w:r w:rsidR="001E1BA3">
        <w:rPr>
          <w:rFonts w:eastAsia="Times New Roman" w:cs="Times New Roman"/>
          <w:color w:val="1A1A1A"/>
        </w:rPr>
        <w:t xml:space="preserve">section </w:t>
      </w:r>
      <w:r w:rsidRPr="00357ACC">
        <w:rPr>
          <w:rFonts w:eastAsia="Times New Roman" w:cs="Times New Roman"/>
          <w:color w:val="1A1A1A"/>
        </w:rPr>
        <w:t>presents the datasets used, key processing steps, and derived analytical products for both Solomon Islands study sites. All building count figures are preliminary estimates based on deep learning extraction and partial manual quality assurance. These results are submitted as proof-of-concept estimates to the ADB project. Further refinement was not possible within the project timeline.</w:t>
      </w:r>
    </w:p>
    <w:p w14:paraId="0B0F2C00" w14:textId="77777777" w:rsidR="00DE6A30" w:rsidRDefault="00DE6A30" w:rsidP="00E35E55">
      <w:pPr>
        <w:spacing w:before="240" w:after="0"/>
        <w:rPr>
          <w:rFonts w:ascii="Arial" w:hAnsi="Arial" w:cs="Arial"/>
          <w:b/>
          <w:bCs/>
          <w:i/>
          <w:iCs/>
        </w:rPr>
      </w:pPr>
      <w:r w:rsidRPr="008138D4">
        <w:rPr>
          <w:rFonts w:ascii="Arial" w:hAnsi="Arial" w:cs="Arial"/>
          <w:b/>
          <w:bCs/>
          <w:i/>
          <w:iCs/>
        </w:rPr>
        <w:t>Study Sites</w:t>
      </w:r>
    </w:p>
    <w:p w14:paraId="215DCCBA" w14:textId="59725609" w:rsidR="00BB3853" w:rsidRDefault="00A9637E" w:rsidP="00E35E55">
      <w:pPr>
        <w:spacing w:after="120"/>
        <w:jc w:val="both"/>
        <w:rPr>
          <w:rFonts w:eastAsia="Times New Roman" w:cs="Times New Roman"/>
          <w:color w:val="1A1A1A"/>
          <w:sz w:val="22"/>
          <w:szCs w:val="22"/>
        </w:rPr>
      </w:pPr>
      <w:r>
        <w:rPr>
          <w:rFonts w:eastAsia="Times New Roman" w:cs="Times New Roman"/>
          <w:color w:val="1A1A1A"/>
          <w:sz w:val="22"/>
          <w:szCs w:val="22"/>
        </w:rPr>
        <w:fldChar w:fldCharType="begin"/>
      </w:r>
      <w:r>
        <w:rPr>
          <w:rFonts w:eastAsia="Times New Roman" w:cs="Times New Roman"/>
          <w:color w:val="1A1A1A"/>
          <w:sz w:val="22"/>
          <w:szCs w:val="22"/>
        </w:rPr>
        <w:instrText xml:space="preserve"> REF _Ref227676659 \h </w:instrText>
      </w:r>
      <w:r>
        <w:rPr>
          <w:rFonts w:eastAsia="Times New Roman" w:cs="Times New Roman"/>
          <w:color w:val="1A1A1A"/>
          <w:sz w:val="22"/>
          <w:szCs w:val="22"/>
        </w:rPr>
      </w:r>
      <w:r>
        <w:rPr>
          <w:rFonts w:eastAsia="Times New Roman" w:cs="Times New Roman"/>
          <w:color w:val="1A1A1A"/>
          <w:sz w:val="22"/>
          <w:szCs w:val="22"/>
        </w:rPr>
        <w:fldChar w:fldCharType="separate"/>
      </w:r>
      <w:r>
        <w:t xml:space="preserve">Table </w:t>
      </w:r>
      <w:r>
        <w:rPr>
          <w:noProof/>
        </w:rPr>
        <w:t>2</w:t>
      </w:r>
      <w:r>
        <w:rPr>
          <w:rFonts w:eastAsia="Times New Roman" w:cs="Times New Roman"/>
          <w:color w:val="1A1A1A"/>
          <w:sz w:val="22"/>
          <w:szCs w:val="22"/>
        </w:rPr>
        <w:fldChar w:fldCharType="end"/>
      </w:r>
      <w:r w:rsidR="00BB3853">
        <w:rPr>
          <w:rFonts w:eastAsia="Times New Roman" w:cs="Times New Roman"/>
          <w:color w:val="1A1A1A"/>
          <w:sz w:val="22"/>
          <w:szCs w:val="22"/>
        </w:rPr>
        <w:t xml:space="preserve"> </w:t>
      </w:r>
      <w:r w:rsidR="00BB3853">
        <w:rPr>
          <w:color w:val="1A1A1A"/>
        </w:rPr>
        <w:t>summarizes</w:t>
      </w:r>
      <w:r w:rsidR="00BB3853">
        <w:rPr>
          <w:rFonts w:eastAsia="Times New Roman" w:cs="Times New Roman"/>
          <w:color w:val="1A1A1A"/>
          <w:sz w:val="22"/>
          <w:szCs w:val="22"/>
        </w:rPr>
        <w:t xml:space="preserve"> the two Solomon Islands study sites, their boundary areas, survey epochs, and imagery sources used for each epoch.</w:t>
      </w:r>
    </w:p>
    <w:p w14:paraId="2A261C97" w14:textId="2BC75B04" w:rsidR="00A9637E" w:rsidRDefault="00A9637E" w:rsidP="00A9637E">
      <w:pPr>
        <w:pStyle w:val="Caption"/>
      </w:pPr>
      <w:bookmarkStart w:id="69" w:name="_Ref227676659"/>
      <w:bookmarkStart w:id="70" w:name="_Toc228285968"/>
      <w:r>
        <w:t xml:space="preserve">Table </w:t>
      </w:r>
      <w:r>
        <w:fldChar w:fldCharType="begin"/>
      </w:r>
      <w:r>
        <w:instrText xml:space="preserve"> SEQ Table \* ARABIC </w:instrText>
      </w:r>
      <w:r>
        <w:fldChar w:fldCharType="separate"/>
      </w:r>
      <w:r w:rsidR="00C93E55">
        <w:rPr>
          <w:noProof/>
        </w:rPr>
        <w:t>2</w:t>
      </w:r>
      <w:r>
        <w:fldChar w:fldCharType="end"/>
      </w:r>
      <w:bookmarkEnd w:id="69"/>
      <w:r>
        <w:t xml:space="preserve">. </w:t>
      </w:r>
      <w:r w:rsidRPr="00D83F76">
        <w:t>Solomon Islands study site summary. Settlement areas derived from ADB-provided boundary shapefiles</w:t>
      </w:r>
      <w:bookmarkEnd w:id="70"/>
    </w:p>
    <w:tbl>
      <w:tblPr>
        <w:tblStyle w:val="TableGrid"/>
        <w:tblW w:w="9000" w:type="dxa"/>
        <w:tblLook w:val="04A0" w:firstRow="1" w:lastRow="0" w:firstColumn="1" w:lastColumn="0" w:noHBand="0" w:noVBand="1"/>
      </w:tblPr>
      <w:tblGrid>
        <w:gridCol w:w="2400"/>
        <w:gridCol w:w="1600"/>
        <w:gridCol w:w="1000"/>
        <w:gridCol w:w="1000"/>
        <w:gridCol w:w="1000"/>
        <w:gridCol w:w="2000"/>
      </w:tblGrid>
      <w:tr w:rsidR="00BB3853" w:rsidRPr="00BB3853" w14:paraId="2F5A3252" w14:textId="77777777" w:rsidTr="00BB3853">
        <w:tc>
          <w:tcPr>
            <w:tcW w:w="2400" w:type="dxa"/>
          </w:tcPr>
          <w:p w14:paraId="275D5453" w14:textId="77777777" w:rsidR="00BB3853" w:rsidRPr="00BB3853" w:rsidRDefault="00BB3853" w:rsidP="00E35E55">
            <w:pPr>
              <w:spacing w:line="480" w:lineRule="auto"/>
              <w:jc w:val="center"/>
            </w:pPr>
            <w:r w:rsidRPr="00BB3853">
              <w:rPr>
                <w:rFonts w:ascii="Arial" w:eastAsia="Arial" w:hAnsi="Arial" w:cs="Arial"/>
                <w:b/>
                <w:bCs/>
                <w:sz w:val="19"/>
                <w:szCs w:val="19"/>
              </w:rPr>
              <w:t>Site</w:t>
            </w:r>
          </w:p>
        </w:tc>
        <w:tc>
          <w:tcPr>
            <w:tcW w:w="1600" w:type="dxa"/>
          </w:tcPr>
          <w:p w14:paraId="4278AD06" w14:textId="77777777" w:rsidR="00BB3853" w:rsidRPr="00BB3853" w:rsidRDefault="00BB3853" w:rsidP="00E35E55">
            <w:pPr>
              <w:spacing w:line="480" w:lineRule="auto"/>
              <w:jc w:val="center"/>
            </w:pPr>
            <w:r w:rsidRPr="00BB3853">
              <w:rPr>
                <w:rFonts w:ascii="Arial" w:eastAsia="Arial" w:hAnsi="Arial" w:cs="Arial"/>
                <w:b/>
                <w:bCs/>
                <w:sz w:val="19"/>
                <w:szCs w:val="19"/>
              </w:rPr>
              <w:t>Settlement Area (ha)</w:t>
            </w:r>
          </w:p>
        </w:tc>
        <w:tc>
          <w:tcPr>
            <w:tcW w:w="1000" w:type="dxa"/>
          </w:tcPr>
          <w:p w14:paraId="2A9293DA" w14:textId="77777777" w:rsidR="00BB3853" w:rsidRPr="00BB3853" w:rsidRDefault="00BB3853" w:rsidP="00E35E55">
            <w:pPr>
              <w:spacing w:line="480" w:lineRule="auto"/>
              <w:jc w:val="center"/>
            </w:pPr>
            <w:r w:rsidRPr="00BB3853">
              <w:rPr>
                <w:rFonts w:ascii="Arial" w:eastAsia="Arial" w:hAnsi="Arial" w:cs="Arial"/>
                <w:b/>
                <w:bCs/>
                <w:sz w:val="19"/>
                <w:szCs w:val="19"/>
              </w:rPr>
              <w:t>Epoch 1</w:t>
            </w:r>
          </w:p>
        </w:tc>
        <w:tc>
          <w:tcPr>
            <w:tcW w:w="1000" w:type="dxa"/>
          </w:tcPr>
          <w:p w14:paraId="543ECF69" w14:textId="77777777" w:rsidR="00BB3853" w:rsidRPr="00BB3853" w:rsidRDefault="00BB3853" w:rsidP="00E35E55">
            <w:pPr>
              <w:spacing w:line="480" w:lineRule="auto"/>
              <w:jc w:val="center"/>
            </w:pPr>
            <w:r w:rsidRPr="00BB3853">
              <w:rPr>
                <w:rFonts w:ascii="Arial" w:eastAsia="Arial" w:hAnsi="Arial" w:cs="Arial"/>
                <w:b/>
                <w:bCs/>
                <w:sz w:val="19"/>
                <w:szCs w:val="19"/>
              </w:rPr>
              <w:t>Epoch 2</w:t>
            </w:r>
          </w:p>
        </w:tc>
        <w:tc>
          <w:tcPr>
            <w:tcW w:w="1000" w:type="dxa"/>
          </w:tcPr>
          <w:p w14:paraId="08A7D859" w14:textId="77777777" w:rsidR="00BB3853" w:rsidRPr="00BB3853" w:rsidRDefault="00BB3853" w:rsidP="00E35E55">
            <w:pPr>
              <w:spacing w:line="480" w:lineRule="auto"/>
              <w:jc w:val="center"/>
            </w:pPr>
            <w:r w:rsidRPr="00BB3853">
              <w:rPr>
                <w:rFonts w:ascii="Arial" w:eastAsia="Arial" w:hAnsi="Arial" w:cs="Arial"/>
                <w:b/>
                <w:bCs/>
                <w:sz w:val="19"/>
                <w:szCs w:val="19"/>
              </w:rPr>
              <w:t>Epoch 3</w:t>
            </w:r>
          </w:p>
        </w:tc>
        <w:tc>
          <w:tcPr>
            <w:tcW w:w="2000" w:type="dxa"/>
          </w:tcPr>
          <w:p w14:paraId="2A2382B5" w14:textId="77777777" w:rsidR="00BB3853" w:rsidRPr="00BB3853" w:rsidRDefault="00BB3853" w:rsidP="00E35E55">
            <w:pPr>
              <w:spacing w:line="480" w:lineRule="auto"/>
              <w:jc w:val="center"/>
            </w:pPr>
            <w:r w:rsidRPr="00BB3853">
              <w:rPr>
                <w:rFonts w:ascii="Arial" w:eastAsia="Arial" w:hAnsi="Arial" w:cs="Arial"/>
                <w:b/>
                <w:bCs/>
                <w:sz w:val="19"/>
                <w:szCs w:val="19"/>
              </w:rPr>
              <w:t>Imagery</w:t>
            </w:r>
          </w:p>
        </w:tc>
      </w:tr>
      <w:tr w:rsidR="00BB3853" w:rsidRPr="00BB3853" w14:paraId="3A37D52F" w14:textId="77777777" w:rsidTr="00BB3853">
        <w:tc>
          <w:tcPr>
            <w:tcW w:w="2400" w:type="dxa"/>
          </w:tcPr>
          <w:p w14:paraId="32494217" w14:textId="77777777" w:rsidR="00BB3853" w:rsidRPr="00BB3853" w:rsidRDefault="00BB3853" w:rsidP="00E35E55">
            <w:pPr>
              <w:spacing w:line="480" w:lineRule="auto"/>
            </w:pPr>
            <w:r w:rsidRPr="00BB3853">
              <w:rPr>
                <w:rFonts w:eastAsia="Times New Roman" w:cs="Times New Roman"/>
                <w:sz w:val="19"/>
                <w:szCs w:val="19"/>
              </w:rPr>
              <w:t>White River</w:t>
            </w:r>
          </w:p>
        </w:tc>
        <w:tc>
          <w:tcPr>
            <w:tcW w:w="1600" w:type="dxa"/>
          </w:tcPr>
          <w:p w14:paraId="3F793F14" w14:textId="77777777" w:rsidR="00BB3853" w:rsidRPr="00BB3853" w:rsidRDefault="00BB3853" w:rsidP="00E35E55">
            <w:pPr>
              <w:spacing w:line="480" w:lineRule="auto"/>
            </w:pPr>
            <w:r w:rsidRPr="00BB3853">
              <w:rPr>
                <w:rFonts w:eastAsia="Times New Roman" w:cs="Times New Roman"/>
                <w:sz w:val="19"/>
                <w:szCs w:val="19"/>
              </w:rPr>
              <w:t>47.59</w:t>
            </w:r>
          </w:p>
        </w:tc>
        <w:tc>
          <w:tcPr>
            <w:tcW w:w="1000" w:type="dxa"/>
          </w:tcPr>
          <w:p w14:paraId="2975AA20" w14:textId="77777777" w:rsidR="00BB3853" w:rsidRPr="00BB3853" w:rsidRDefault="00BB3853" w:rsidP="00E35E55">
            <w:pPr>
              <w:spacing w:line="480" w:lineRule="auto"/>
            </w:pPr>
            <w:r w:rsidRPr="00BB3853">
              <w:rPr>
                <w:rFonts w:eastAsia="Times New Roman" w:cs="Times New Roman"/>
                <w:sz w:val="19"/>
                <w:szCs w:val="19"/>
              </w:rPr>
              <w:t>~2006</w:t>
            </w:r>
          </w:p>
        </w:tc>
        <w:tc>
          <w:tcPr>
            <w:tcW w:w="1000" w:type="dxa"/>
          </w:tcPr>
          <w:p w14:paraId="220C4885" w14:textId="77777777" w:rsidR="00BB3853" w:rsidRPr="00BB3853" w:rsidRDefault="00BB3853" w:rsidP="00E35E55">
            <w:pPr>
              <w:spacing w:line="480" w:lineRule="auto"/>
            </w:pPr>
            <w:r w:rsidRPr="00BB3853">
              <w:rPr>
                <w:rFonts w:eastAsia="Times New Roman" w:cs="Times New Roman"/>
                <w:sz w:val="19"/>
                <w:szCs w:val="19"/>
              </w:rPr>
              <w:t>~2015</w:t>
            </w:r>
          </w:p>
        </w:tc>
        <w:tc>
          <w:tcPr>
            <w:tcW w:w="1000" w:type="dxa"/>
          </w:tcPr>
          <w:p w14:paraId="4C46E750" w14:textId="77777777" w:rsidR="00BB3853" w:rsidRPr="00BB3853" w:rsidRDefault="00BB3853" w:rsidP="00E35E55">
            <w:pPr>
              <w:spacing w:line="480" w:lineRule="auto"/>
            </w:pPr>
            <w:r w:rsidRPr="00BB3853">
              <w:rPr>
                <w:rFonts w:eastAsia="Times New Roman" w:cs="Times New Roman"/>
                <w:sz w:val="19"/>
                <w:szCs w:val="19"/>
              </w:rPr>
              <w:t>2025</w:t>
            </w:r>
          </w:p>
        </w:tc>
        <w:tc>
          <w:tcPr>
            <w:tcW w:w="2000" w:type="dxa"/>
          </w:tcPr>
          <w:p w14:paraId="5724CF76" w14:textId="77777777" w:rsidR="00BB3853" w:rsidRPr="00BB3853" w:rsidRDefault="00BB3853" w:rsidP="00E35E55">
            <w:pPr>
              <w:spacing w:line="480" w:lineRule="auto"/>
            </w:pPr>
            <w:r w:rsidRPr="00BB3853">
              <w:rPr>
                <w:rFonts w:eastAsia="Times New Roman" w:cs="Times New Roman"/>
                <w:sz w:val="19"/>
                <w:szCs w:val="19"/>
              </w:rPr>
              <w:t>QB-2 / WV-3 / WV-3</w:t>
            </w:r>
          </w:p>
        </w:tc>
      </w:tr>
      <w:tr w:rsidR="00BB3853" w:rsidRPr="00BB3853" w14:paraId="5BC1181B" w14:textId="77777777" w:rsidTr="00BB3853">
        <w:tc>
          <w:tcPr>
            <w:tcW w:w="2400" w:type="dxa"/>
          </w:tcPr>
          <w:p w14:paraId="0AFA3475" w14:textId="77777777" w:rsidR="00BB3853" w:rsidRPr="00BB3853" w:rsidRDefault="00BB3853" w:rsidP="00E35E55">
            <w:pPr>
              <w:spacing w:line="480" w:lineRule="auto"/>
            </w:pPr>
            <w:proofErr w:type="spellStart"/>
            <w:r w:rsidRPr="00BB3853">
              <w:rPr>
                <w:rFonts w:eastAsia="Times New Roman" w:cs="Times New Roman"/>
                <w:sz w:val="19"/>
                <w:szCs w:val="19"/>
              </w:rPr>
              <w:t>Mbumburu</w:t>
            </w:r>
            <w:proofErr w:type="spellEnd"/>
          </w:p>
        </w:tc>
        <w:tc>
          <w:tcPr>
            <w:tcW w:w="1600" w:type="dxa"/>
          </w:tcPr>
          <w:p w14:paraId="3BBB31D0" w14:textId="77777777" w:rsidR="00BB3853" w:rsidRPr="00BB3853" w:rsidRDefault="00BB3853" w:rsidP="00E35E55">
            <w:pPr>
              <w:spacing w:line="480" w:lineRule="auto"/>
            </w:pPr>
            <w:r w:rsidRPr="00BB3853">
              <w:rPr>
                <w:rFonts w:eastAsia="Times New Roman" w:cs="Times New Roman"/>
                <w:sz w:val="19"/>
                <w:szCs w:val="19"/>
              </w:rPr>
              <w:t>40.98</w:t>
            </w:r>
          </w:p>
        </w:tc>
        <w:tc>
          <w:tcPr>
            <w:tcW w:w="1000" w:type="dxa"/>
          </w:tcPr>
          <w:p w14:paraId="1772D314" w14:textId="77777777" w:rsidR="00BB3853" w:rsidRPr="00BB3853" w:rsidRDefault="00BB3853" w:rsidP="00E35E55">
            <w:pPr>
              <w:spacing w:line="480" w:lineRule="auto"/>
            </w:pPr>
            <w:r w:rsidRPr="00BB3853">
              <w:rPr>
                <w:rFonts w:eastAsia="Times New Roman" w:cs="Times New Roman"/>
                <w:sz w:val="19"/>
                <w:szCs w:val="19"/>
              </w:rPr>
              <w:t>~2006</w:t>
            </w:r>
          </w:p>
        </w:tc>
        <w:tc>
          <w:tcPr>
            <w:tcW w:w="1000" w:type="dxa"/>
          </w:tcPr>
          <w:p w14:paraId="2B1869ED" w14:textId="77777777" w:rsidR="00BB3853" w:rsidRPr="00BB3853" w:rsidRDefault="00BB3853" w:rsidP="00E35E55">
            <w:pPr>
              <w:spacing w:line="480" w:lineRule="auto"/>
            </w:pPr>
            <w:r w:rsidRPr="00BB3853">
              <w:rPr>
                <w:rFonts w:eastAsia="Times New Roman" w:cs="Times New Roman"/>
                <w:sz w:val="19"/>
                <w:szCs w:val="19"/>
              </w:rPr>
              <w:t>~2015</w:t>
            </w:r>
          </w:p>
        </w:tc>
        <w:tc>
          <w:tcPr>
            <w:tcW w:w="1000" w:type="dxa"/>
          </w:tcPr>
          <w:p w14:paraId="62A483C2" w14:textId="77777777" w:rsidR="00BB3853" w:rsidRPr="00BB3853" w:rsidRDefault="00BB3853" w:rsidP="00E35E55">
            <w:pPr>
              <w:spacing w:line="480" w:lineRule="auto"/>
            </w:pPr>
            <w:r w:rsidRPr="00BB3853">
              <w:rPr>
                <w:rFonts w:eastAsia="Times New Roman" w:cs="Times New Roman"/>
                <w:sz w:val="19"/>
                <w:szCs w:val="19"/>
              </w:rPr>
              <w:t>2025</w:t>
            </w:r>
          </w:p>
        </w:tc>
        <w:tc>
          <w:tcPr>
            <w:tcW w:w="2000" w:type="dxa"/>
          </w:tcPr>
          <w:p w14:paraId="5C5FA16F" w14:textId="77777777" w:rsidR="00BB3853" w:rsidRPr="00BB3853" w:rsidRDefault="00BB3853" w:rsidP="00E35E55">
            <w:pPr>
              <w:spacing w:line="480" w:lineRule="auto"/>
            </w:pPr>
            <w:r w:rsidRPr="00BB3853">
              <w:rPr>
                <w:rFonts w:eastAsia="Times New Roman" w:cs="Times New Roman"/>
                <w:sz w:val="19"/>
                <w:szCs w:val="19"/>
              </w:rPr>
              <w:t>QB-2 / WV-3 / WV-3</w:t>
            </w:r>
          </w:p>
        </w:tc>
      </w:tr>
    </w:tbl>
    <w:p w14:paraId="19C6BC85" w14:textId="5EBBFF81" w:rsidR="00BB3853" w:rsidRDefault="00BB3853" w:rsidP="00E35E55">
      <w:pPr>
        <w:spacing w:before="80" w:after="80"/>
      </w:pPr>
    </w:p>
    <w:p w14:paraId="7DC0551C" w14:textId="6EDCEB62" w:rsidR="00D45E11" w:rsidRDefault="006D22C5" w:rsidP="00E35E55">
      <w:pPr>
        <w:spacing w:before="120" w:after="0"/>
        <w:rPr>
          <w:rFonts w:ascii="Arial" w:hAnsi="Arial" w:cs="Arial"/>
          <w:i/>
          <w:iCs/>
          <w:sz w:val="22"/>
          <w:szCs w:val="22"/>
        </w:rPr>
      </w:pPr>
      <w:r>
        <w:rPr>
          <w:rFonts w:ascii="Arial" w:hAnsi="Arial" w:cs="Arial"/>
          <w:i/>
          <w:iCs/>
          <w:sz w:val="22"/>
          <w:szCs w:val="22"/>
        </w:rPr>
        <w:t xml:space="preserve">White River </w:t>
      </w:r>
    </w:p>
    <w:p w14:paraId="110498C1" w14:textId="6D8994FF" w:rsidR="002C194B" w:rsidRDefault="00162C90" w:rsidP="00E35E55">
      <w:pPr>
        <w:spacing w:after="120"/>
      </w:pPr>
      <w:r>
        <w:rPr>
          <w:rFonts w:eastAsia="Times New Roman" w:cs="Times New Roman"/>
          <w:color w:val="1A1A1A"/>
          <w:sz w:val="22"/>
          <w:szCs w:val="22"/>
        </w:rPr>
        <w:t xml:space="preserve">White River is a peri-urban informal settlement located on the western outskirts of Honiara, situated between the main coastal highway and rising hillslopes that border the settlement to the south. The settlement takes its name from the White River watercourse that flows along the western margin of the site. The boundary area of </w:t>
      </w:r>
      <w:r w:rsidR="0009608F">
        <w:rPr>
          <w:rFonts w:eastAsia="Times New Roman" w:cs="Times New Roman"/>
          <w:color w:val="1A1A1A"/>
          <w:sz w:val="22"/>
          <w:szCs w:val="22"/>
        </w:rPr>
        <w:t xml:space="preserve">about </w:t>
      </w:r>
      <w:r>
        <w:rPr>
          <w:rFonts w:eastAsia="Times New Roman" w:cs="Times New Roman"/>
          <w:color w:val="1A1A1A"/>
          <w:sz w:val="22"/>
          <w:szCs w:val="22"/>
        </w:rPr>
        <w:t>4</w:t>
      </w:r>
      <w:r w:rsidR="0009608F">
        <w:rPr>
          <w:rFonts w:eastAsia="Times New Roman" w:cs="Times New Roman"/>
          <w:color w:val="1A1A1A"/>
          <w:sz w:val="22"/>
          <w:szCs w:val="22"/>
        </w:rPr>
        <w:t>8</w:t>
      </w:r>
      <w:r>
        <w:rPr>
          <w:rFonts w:eastAsia="Times New Roman" w:cs="Times New Roman"/>
          <w:color w:val="1A1A1A"/>
          <w:sz w:val="22"/>
          <w:szCs w:val="22"/>
        </w:rPr>
        <w:t xml:space="preserve"> hectares encompasses a mix of moderate-density residential structures, small-scale commercial activities, and informal gardens interspersed among dwellings. The settlement is </w:t>
      </w:r>
      <w:r w:rsidR="0009608F">
        <w:rPr>
          <w:rFonts w:eastAsia="Times New Roman" w:cs="Times New Roman"/>
          <w:color w:val="1A1A1A"/>
          <w:sz w:val="22"/>
          <w:szCs w:val="22"/>
        </w:rPr>
        <w:t>characterized</w:t>
      </w:r>
      <w:r>
        <w:rPr>
          <w:rFonts w:eastAsia="Times New Roman" w:cs="Times New Roman"/>
          <w:color w:val="1A1A1A"/>
          <w:sz w:val="22"/>
          <w:szCs w:val="22"/>
        </w:rPr>
        <w:t xml:space="preserve"> by corrugated iron and timber-frame structures on relatively flat coastal terrain </w:t>
      </w:r>
      <w:r>
        <w:rPr>
          <w:rFonts w:eastAsia="Times New Roman" w:cs="Times New Roman"/>
          <w:color w:val="1A1A1A"/>
          <w:sz w:val="22"/>
          <w:szCs w:val="22"/>
        </w:rPr>
        <w:lastRenderedPageBreak/>
        <w:t>transitioning to steeper slopes on its southern edge. Access to formal water supply and sanitation services in western Honiara informal settlements has historically been limited (UN-Habitat, 2012), though infrastructure investment by ADB and Solomon Water has improved reticulated water coverage in recent years.</w:t>
      </w:r>
      <w:r w:rsidR="002C194B">
        <w:tab/>
      </w:r>
    </w:p>
    <w:p w14:paraId="5AC3E0CB" w14:textId="0371667F" w:rsidR="00162C90" w:rsidRDefault="00162C90" w:rsidP="00E35E55">
      <w:pPr>
        <w:spacing w:after="120"/>
        <w:ind w:firstLine="720"/>
      </w:pPr>
      <w:r>
        <w:rPr>
          <w:rFonts w:eastAsia="Times New Roman" w:cs="Times New Roman"/>
          <w:color w:val="1A1A1A"/>
          <w:sz w:val="22"/>
          <w:szCs w:val="22"/>
        </w:rPr>
        <w:t xml:space="preserve">White River is one of the most accessible informal settlement sites in Honiara, with direct frontage onto the main Kukum Highway. This accessibility makes it a destination for migrants arriving by sea or road from other provinces. Moore (2015) observed that many Honiara informal settlement residents maintain strong kinship links to specific home-island communities, and </w:t>
      </w:r>
      <w:r w:rsidR="0009608F">
        <w:rPr>
          <w:rFonts w:eastAsia="Times New Roman" w:cs="Times New Roman"/>
          <w:color w:val="1A1A1A"/>
          <w:sz w:val="22"/>
          <w:szCs w:val="22"/>
        </w:rPr>
        <w:t>neighborhood</w:t>
      </w:r>
      <w:r>
        <w:rPr>
          <w:rFonts w:eastAsia="Times New Roman" w:cs="Times New Roman"/>
          <w:color w:val="1A1A1A"/>
          <w:sz w:val="22"/>
          <w:szCs w:val="22"/>
        </w:rPr>
        <w:t xml:space="preserve"> </w:t>
      </w:r>
      <w:r w:rsidR="0009608F">
        <w:rPr>
          <w:rFonts w:eastAsia="Times New Roman" w:cs="Times New Roman"/>
          <w:color w:val="1A1A1A"/>
          <w:sz w:val="22"/>
          <w:szCs w:val="22"/>
        </w:rPr>
        <w:t>organization</w:t>
      </w:r>
      <w:r>
        <w:rPr>
          <w:rFonts w:eastAsia="Times New Roman" w:cs="Times New Roman"/>
          <w:color w:val="1A1A1A"/>
          <w:sz w:val="22"/>
          <w:szCs w:val="22"/>
        </w:rPr>
        <w:t xml:space="preserve"> often reflects these provincial affiliations. White River exhibits this pattern, with different sections of the settlement associated with distinct migrant origin communities.</w:t>
      </w:r>
    </w:p>
    <w:p w14:paraId="27E7CDB6" w14:textId="189372D4" w:rsidR="006D22C5" w:rsidRDefault="00F40A00" w:rsidP="00E35E55">
      <w:pPr>
        <w:spacing w:before="240" w:after="0"/>
        <w:rPr>
          <w:rFonts w:ascii="Arial" w:hAnsi="Arial" w:cs="Arial"/>
          <w:i/>
          <w:iCs/>
          <w:sz w:val="22"/>
          <w:szCs w:val="22"/>
        </w:rPr>
      </w:pPr>
      <w:proofErr w:type="spellStart"/>
      <w:r>
        <w:rPr>
          <w:rFonts w:ascii="Arial" w:hAnsi="Arial" w:cs="Arial"/>
          <w:i/>
          <w:iCs/>
          <w:sz w:val="22"/>
          <w:szCs w:val="22"/>
        </w:rPr>
        <w:t>Mbum</w:t>
      </w:r>
      <w:r w:rsidR="008D6021">
        <w:rPr>
          <w:rFonts w:ascii="Arial" w:hAnsi="Arial" w:cs="Arial"/>
          <w:i/>
          <w:iCs/>
          <w:sz w:val="22"/>
          <w:szCs w:val="22"/>
        </w:rPr>
        <w:t>buru</w:t>
      </w:r>
      <w:proofErr w:type="spellEnd"/>
      <w:r w:rsidR="006D22C5">
        <w:rPr>
          <w:rFonts w:ascii="Arial" w:hAnsi="Arial" w:cs="Arial"/>
          <w:i/>
          <w:iCs/>
          <w:sz w:val="22"/>
          <w:szCs w:val="22"/>
        </w:rPr>
        <w:t xml:space="preserve"> </w:t>
      </w:r>
    </w:p>
    <w:p w14:paraId="197E97B1" w14:textId="60CB9205" w:rsidR="008E0ED0" w:rsidRDefault="008E0ED0" w:rsidP="00E35E55">
      <w:pPr>
        <w:spacing w:after="120"/>
      </w:pP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is a coastal informal </w:t>
      </w:r>
      <w:proofErr w:type="gramStart"/>
      <w:r>
        <w:rPr>
          <w:rFonts w:eastAsia="Times New Roman" w:cs="Times New Roman"/>
          <w:color w:val="1A1A1A"/>
          <w:sz w:val="22"/>
          <w:szCs w:val="22"/>
        </w:rPr>
        <w:t>settlement and</w:t>
      </w:r>
      <w:proofErr w:type="gramEnd"/>
      <w:r>
        <w:rPr>
          <w:rFonts w:eastAsia="Times New Roman" w:cs="Times New Roman"/>
          <w:color w:val="1A1A1A"/>
          <w:sz w:val="22"/>
          <w:szCs w:val="22"/>
        </w:rPr>
        <w:t xml:space="preserve"> east of White River, occupying a</w:t>
      </w:r>
      <w:r w:rsidR="00DE2611">
        <w:rPr>
          <w:rFonts w:eastAsia="Times New Roman" w:cs="Times New Roman"/>
          <w:color w:val="1A1A1A"/>
          <w:sz w:val="22"/>
          <w:szCs w:val="22"/>
        </w:rPr>
        <w:t>bout</w:t>
      </w:r>
      <w:r>
        <w:rPr>
          <w:rFonts w:eastAsia="Times New Roman" w:cs="Times New Roman"/>
          <w:color w:val="1A1A1A"/>
          <w:sz w:val="22"/>
          <w:szCs w:val="22"/>
        </w:rPr>
        <w:t xml:space="preserve"> 4</w:t>
      </w:r>
      <w:r w:rsidR="00DE2611">
        <w:rPr>
          <w:rFonts w:eastAsia="Times New Roman" w:cs="Times New Roman"/>
          <w:color w:val="1A1A1A"/>
          <w:sz w:val="22"/>
          <w:szCs w:val="22"/>
        </w:rPr>
        <w:t>1</w:t>
      </w:r>
      <w:r>
        <w:rPr>
          <w:rFonts w:eastAsia="Times New Roman" w:cs="Times New Roman"/>
          <w:color w:val="1A1A1A"/>
          <w:sz w:val="22"/>
          <w:szCs w:val="22"/>
        </w:rPr>
        <w:t xml:space="preserve"> ha boundary area on low-lying coastal and near-coastal terrain. The settlement borders the shoreline along part of its northern edge, which introduces coastal flooding and erosion risk in addition to the standard informal settlement infrastructure challenges.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is </w:t>
      </w:r>
      <w:r w:rsidR="00DE2611">
        <w:rPr>
          <w:rFonts w:eastAsia="Times New Roman" w:cs="Times New Roman"/>
          <w:color w:val="1A1A1A"/>
          <w:sz w:val="22"/>
          <w:szCs w:val="22"/>
        </w:rPr>
        <w:t>characterized</w:t>
      </w:r>
      <w:r>
        <w:rPr>
          <w:rFonts w:eastAsia="Times New Roman" w:cs="Times New Roman"/>
          <w:color w:val="1A1A1A"/>
          <w:sz w:val="22"/>
          <w:szCs w:val="22"/>
        </w:rPr>
        <w:t xml:space="preserve"> by relatively high building density near the shoreline, transitioning to more dispersed development on the hillslopes to the south. Building typologies are </w:t>
      </w:r>
      <w:proofErr w:type="gramStart"/>
      <w:r>
        <w:rPr>
          <w:rFonts w:eastAsia="Times New Roman" w:cs="Times New Roman"/>
          <w:color w:val="1A1A1A"/>
          <w:sz w:val="22"/>
          <w:szCs w:val="22"/>
        </w:rPr>
        <w:t>similar to</w:t>
      </w:r>
      <w:proofErr w:type="gramEnd"/>
      <w:r>
        <w:rPr>
          <w:rFonts w:eastAsia="Times New Roman" w:cs="Times New Roman"/>
          <w:color w:val="1A1A1A"/>
          <w:sz w:val="22"/>
          <w:szCs w:val="22"/>
        </w:rPr>
        <w:t xml:space="preserve"> those at White River, with corrugated iron being the dominant roofing material across the site, which provided good spectral contrast for the deep learning model in the 2015 and 2025 WorldView-3 imagery.</w:t>
      </w:r>
    </w:p>
    <w:p w14:paraId="1BC4F965" w14:textId="1F576011" w:rsidR="008E0ED0" w:rsidRDefault="008E0ED0" w:rsidP="00E35E55">
      <w:pPr>
        <w:spacing w:after="120"/>
        <w:ind w:firstLine="720"/>
      </w:pPr>
      <w:proofErr w:type="spellStart"/>
      <w:r>
        <w:rPr>
          <w:rFonts w:eastAsia="Times New Roman" w:cs="Times New Roman"/>
          <w:color w:val="1A1A1A"/>
          <w:sz w:val="22"/>
          <w:szCs w:val="22"/>
        </w:rPr>
        <w:t>Foukona</w:t>
      </w:r>
      <w:proofErr w:type="spellEnd"/>
      <w:r>
        <w:rPr>
          <w:rFonts w:eastAsia="Times New Roman" w:cs="Times New Roman"/>
          <w:color w:val="1A1A1A"/>
          <w:sz w:val="22"/>
          <w:szCs w:val="22"/>
        </w:rPr>
        <w:t xml:space="preserve"> and Allen (2017) documented the various formal and informal land tenure arrangements that shape settlement occupancy in peri-urban Honiara, noting that many residents occupy land through arrangements with customary landowners or through informal sub-leasing that is legally precarious. This tenure insecurity is relevant to the infrastructure planning context</w:t>
      </w:r>
      <w:r w:rsidR="00DE2611">
        <w:rPr>
          <w:rFonts w:eastAsia="Times New Roman" w:cs="Times New Roman"/>
          <w:color w:val="1A1A1A"/>
          <w:sz w:val="22"/>
          <w:szCs w:val="22"/>
        </w:rPr>
        <w:t>. H</w:t>
      </w:r>
      <w:r>
        <w:rPr>
          <w:rFonts w:eastAsia="Times New Roman" w:cs="Times New Roman"/>
          <w:color w:val="1A1A1A"/>
          <w:sz w:val="22"/>
          <w:szCs w:val="22"/>
        </w:rPr>
        <w:t xml:space="preserve">ouseholds uncertain of their long-term occupancy rights may be less willing to invest in durable housing improvements, which can </w:t>
      </w:r>
      <w:r>
        <w:rPr>
          <w:rFonts w:eastAsia="Times New Roman" w:cs="Times New Roman"/>
          <w:color w:val="1A1A1A"/>
          <w:sz w:val="22"/>
          <w:szCs w:val="22"/>
        </w:rPr>
        <w:lastRenderedPageBreak/>
        <w:t xml:space="preserve">influence the rate of </w:t>
      </w:r>
      <w:proofErr w:type="gramStart"/>
      <w:r>
        <w:rPr>
          <w:rFonts w:eastAsia="Times New Roman" w:cs="Times New Roman"/>
          <w:color w:val="1A1A1A"/>
          <w:sz w:val="22"/>
          <w:szCs w:val="22"/>
        </w:rPr>
        <w:t>building stock</w:t>
      </w:r>
      <w:proofErr w:type="gramEnd"/>
      <w:r>
        <w:rPr>
          <w:rFonts w:eastAsia="Times New Roman" w:cs="Times New Roman"/>
          <w:color w:val="1A1A1A"/>
          <w:sz w:val="22"/>
          <w:szCs w:val="22"/>
        </w:rPr>
        <w:t xml:space="preserve"> improvement over time that would otherwise be captured through changes in footprint area.</w:t>
      </w:r>
    </w:p>
    <w:p w14:paraId="09C4C013" w14:textId="77777777" w:rsidR="00F24283" w:rsidRDefault="00F24283" w:rsidP="00E35E55">
      <w:pPr>
        <w:spacing w:before="240"/>
        <w:rPr>
          <w:rFonts w:ascii="Arial" w:hAnsi="Arial" w:cs="Arial"/>
          <w:b/>
          <w:bCs/>
          <w:i/>
          <w:iCs/>
        </w:rPr>
      </w:pPr>
      <w:r w:rsidRPr="00667AAC">
        <w:rPr>
          <w:rFonts w:ascii="Arial" w:hAnsi="Arial" w:cs="Arial"/>
          <w:b/>
          <w:bCs/>
          <w:i/>
          <w:iCs/>
        </w:rPr>
        <w:t>Datasets and Key Processing Steps</w:t>
      </w:r>
    </w:p>
    <w:p w14:paraId="546F18B7" w14:textId="77777777" w:rsidR="004C1F4A" w:rsidRDefault="004C1F4A" w:rsidP="00E35E55">
      <w:pPr>
        <w:spacing w:after="0"/>
        <w:rPr>
          <w:rFonts w:ascii="Arial" w:hAnsi="Arial" w:cs="Arial"/>
          <w:i/>
          <w:iCs/>
        </w:rPr>
      </w:pPr>
      <w:r w:rsidRPr="003D7398">
        <w:rPr>
          <w:rFonts w:ascii="Arial" w:hAnsi="Arial" w:cs="Arial"/>
          <w:i/>
          <w:iCs/>
        </w:rPr>
        <w:t>Satellite Imagery</w:t>
      </w:r>
    </w:p>
    <w:p w14:paraId="3114F6B9" w14:textId="77777777" w:rsidR="00242F97" w:rsidRDefault="00242F97" w:rsidP="00E35E55">
      <w:pPr>
        <w:spacing w:after="120"/>
        <w:jc w:val="both"/>
      </w:pPr>
      <w:r>
        <w:rPr>
          <w:rFonts w:eastAsia="Times New Roman" w:cs="Times New Roman"/>
          <w:color w:val="1A1A1A"/>
          <w:sz w:val="22"/>
          <w:szCs w:val="22"/>
        </w:rPr>
        <w:t xml:space="preserve">Very-high-resolution (VHR) commercial satellite imagery from the Maxar archive was used for all three survey epochs at both Solomon Islands sites. QuickBird-2 imagery was used for the earliest epoch (~2006), and WorldView-3 was used for both the 2015 and 2025 epochs. This means that the 2015–2025 interval is temporally covered by images from the same sensor family at directly comparable spatial resolution, while the 2006 baseline epoch uses the lower-resolution QuickBird-2 platform. Table 2 </w:t>
      </w:r>
      <w:proofErr w:type="spellStart"/>
      <w:r>
        <w:rPr>
          <w:rFonts w:eastAsia="Times New Roman" w:cs="Times New Roman"/>
          <w:color w:val="1A1A1A"/>
          <w:sz w:val="22"/>
          <w:szCs w:val="22"/>
        </w:rPr>
        <w:t>summarises</w:t>
      </w:r>
      <w:proofErr w:type="spellEnd"/>
      <w:r>
        <w:rPr>
          <w:rFonts w:eastAsia="Times New Roman" w:cs="Times New Roman"/>
          <w:color w:val="1A1A1A"/>
          <w:sz w:val="22"/>
          <w:szCs w:val="22"/>
        </w:rPr>
        <w:t xml:space="preserve"> the sensor specifications for each epoch.</w:t>
      </w:r>
    </w:p>
    <w:p w14:paraId="0C49F2EC" w14:textId="77777777" w:rsidR="00242F97" w:rsidRDefault="00242F97" w:rsidP="00E35E55">
      <w:pPr>
        <w:spacing w:after="80"/>
      </w:pPr>
    </w:p>
    <w:tbl>
      <w:tblPr>
        <w:tblStyle w:val="TableGrid"/>
        <w:tblW w:w="9000" w:type="dxa"/>
        <w:tblLook w:val="04A0" w:firstRow="1" w:lastRow="0" w:firstColumn="1" w:lastColumn="0" w:noHBand="0" w:noVBand="1"/>
      </w:tblPr>
      <w:tblGrid>
        <w:gridCol w:w="1800"/>
        <w:gridCol w:w="1500"/>
        <w:gridCol w:w="1500"/>
        <w:gridCol w:w="2100"/>
        <w:gridCol w:w="2100"/>
      </w:tblGrid>
      <w:tr w:rsidR="00AE4926" w:rsidRPr="00AE4926" w14:paraId="316E802C" w14:textId="77777777" w:rsidTr="00242F97">
        <w:tc>
          <w:tcPr>
            <w:tcW w:w="1800" w:type="dxa"/>
          </w:tcPr>
          <w:p w14:paraId="0BF907CD" w14:textId="77777777" w:rsidR="00242F97" w:rsidRPr="00AE4926" w:rsidRDefault="00242F97" w:rsidP="00E35E55">
            <w:pPr>
              <w:spacing w:line="480" w:lineRule="auto"/>
              <w:jc w:val="center"/>
            </w:pPr>
            <w:r w:rsidRPr="00AE4926">
              <w:rPr>
                <w:rFonts w:ascii="Arial" w:eastAsia="Arial" w:hAnsi="Arial" w:cs="Arial"/>
                <w:b/>
                <w:bCs/>
                <w:sz w:val="19"/>
                <w:szCs w:val="19"/>
              </w:rPr>
              <w:t>Sensor</w:t>
            </w:r>
          </w:p>
        </w:tc>
        <w:tc>
          <w:tcPr>
            <w:tcW w:w="1500" w:type="dxa"/>
          </w:tcPr>
          <w:p w14:paraId="6BAD028F" w14:textId="77777777" w:rsidR="00242F97" w:rsidRPr="00AE4926" w:rsidRDefault="00242F97" w:rsidP="00E35E55">
            <w:pPr>
              <w:spacing w:line="480" w:lineRule="auto"/>
              <w:jc w:val="center"/>
            </w:pPr>
            <w:r w:rsidRPr="00AE4926">
              <w:rPr>
                <w:rFonts w:ascii="Arial" w:eastAsia="Arial" w:hAnsi="Arial" w:cs="Arial"/>
                <w:b/>
                <w:bCs/>
                <w:sz w:val="19"/>
                <w:szCs w:val="19"/>
              </w:rPr>
              <w:t>Pan Resolution (m)</w:t>
            </w:r>
          </w:p>
        </w:tc>
        <w:tc>
          <w:tcPr>
            <w:tcW w:w="1500" w:type="dxa"/>
          </w:tcPr>
          <w:p w14:paraId="674825E7" w14:textId="77777777" w:rsidR="00242F97" w:rsidRPr="00AE4926" w:rsidRDefault="00242F97" w:rsidP="00E35E55">
            <w:pPr>
              <w:spacing w:line="480" w:lineRule="auto"/>
              <w:jc w:val="center"/>
            </w:pPr>
            <w:r w:rsidRPr="00AE4926">
              <w:rPr>
                <w:rFonts w:ascii="Arial" w:eastAsia="Arial" w:hAnsi="Arial" w:cs="Arial"/>
                <w:b/>
                <w:bCs/>
                <w:sz w:val="19"/>
                <w:szCs w:val="19"/>
              </w:rPr>
              <w:t>MS Resolution (m)</w:t>
            </w:r>
          </w:p>
        </w:tc>
        <w:tc>
          <w:tcPr>
            <w:tcW w:w="2100" w:type="dxa"/>
          </w:tcPr>
          <w:p w14:paraId="55E2F5CB" w14:textId="77777777" w:rsidR="00242F97" w:rsidRPr="00AE4926" w:rsidRDefault="00242F97" w:rsidP="00E35E55">
            <w:pPr>
              <w:spacing w:line="480" w:lineRule="auto"/>
              <w:jc w:val="center"/>
            </w:pPr>
            <w:r w:rsidRPr="00AE4926">
              <w:rPr>
                <w:rFonts w:ascii="Arial" w:eastAsia="Arial" w:hAnsi="Arial" w:cs="Arial"/>
                <w:b/>
                <w:bCs/>
                <w:sz w:val="19"/>
                <w:szCs w:val="19"/>
              </w:rPr>
              <w:t>MS Bands</w:t>
            </w:r>
          </w:p>
        </w:tc>
        <w:tc>
          <w:tcPr>
            <w:tcW w:w="2100" w:type="dxa"/>
          </w:tcPr>
          <w:p w14:paraId="7EFC55A4" w14:textId="77777777" w:rsidR="00242F97" w:rsidRPr="00AE4926" w:rsidRDefault="00242F97" w:rsidP="00E35E55">
            <w:pPr>
              <w:spacing w:line="480" w:lineRule="auto"/>
              <w:jc w:val="center"/>
            </w:pPr>
            <w:r w:rsidRPr="00AE4926">
              <w:rPr>
                <w:rFonts w:ascii="Arial" w:eastAsia="Arial" w:hAnsi="Arial" w:cs="Arial"/>
                <w:b/>
                <w:bCs/>
                <w:sz w:val="19"/>
                <w:szCs w:val="19"/>
              </w:rPr>
              <w:t>Epochs Used</w:t>
            </w:r>
          </w:p>
        </w:tc>
      </w:tr>
      <w:tr w:rsidR="00AE4926" w:rsidRPr="00AE4926" w14:paraId="2DB7EA91" w14:textId="77777777" w:rsidTr="00242F97">
        <w:tc>
          <w:tcPr>
            <w:tcW w:w="1800" w:type="dxa"/>
          </w:tcPr>
          <w:p w14:paraId="7737DABE" w14:textId="77777777" w:rsidR="00242F97" w:rsidRPr="00AE4926" w:rsidRDefault="00242F97" w:rsidP="00E35E55">
            <w:pPr>
              <w:spacing w:line="480" w:lineRule="auto"/>
            </w:pPr>
            <w:r w:rsidRPr="00AE4926">
              <w:rPr>
                <w:rFonts w:eastAsia="Times New Roman" w:cs="Times New Roman"/>
                <w:sz w:val="19"/>
                <w:szCs w:val="19"/>
              </w:rPr>
              <w:t>QuickBird-2</w:t>
            </w:r>
          </w:p>
        </w:tc>
        <w:tc>
          <w:tcPr>
            <w:tcW w:w="1500" w:type="dxa"/>
          </w:tcPr>
          <w:p w14:paraId="34CFA528" w14:textId="77777777" w:rsidR="00242F97" w:rsidRPr="00AE4926" w:rsidRDefault="00242F97" w:rsidP="00E35E55">
            <w:pPr>
              <w:spacing w:line="480" w:lineRule="auto"/>
            </w:pPr>
            <w:r w:rsidRPr="00AE4926">
              <w:rPr>
                <w:rFonts w:eastAsia="Times New Roman" w:cs="Times New Roman"/>
                <w:sz w:val="19"/>
                <w:szCs w:val="19"/>
              </w:rPr>
              <w:t>0.61</w:t>
            </w:r>
          </w:p>
        </w:tc>
        <w:tc>
          <w:tcPr>
            <w:tcW w:w="1500" w:type="dxa"/>
          </w:tcPr>
          <w:p w14:paraId="1CFFCC5F" w14:textId="77777777" w:rsidR="00242F97" w:rsidRPr="00AE4926" w:rsidRDefault="00242F97" w:rsidP="00E35E55">
            <w:pPr>
              <w:spacing w:line="480" w:lineRule="auto"/>
            </w:pPr>
            <w:r w:rsidRPr="00AE4926">
              <w:rPr>
                <w:rFonts w:eastAsia="Times New Roman" w:cs="Times New Roman"/>
                <w:sz w:val="19"/>
                <w:szCs w:val="19"/>
              </w:rPr>
              <w:t>2.44</w:t>
            </w:r>
          </w:p>
        </w:tc>
        <w:tc>
          <w:tcPr>
            <w:tcW w:w="2100" w:type="dxa"/>
          </w:tcPr>
          <w:p w14:paraId="1C500E03" w14:textId="77777777" w:rsidR="00242F97" w:rsidRPr="00AE4926" w:rsidRDefault="00242F97" w:rsidP="00E35E55">
            <w:pPr>
              <w:spacing w:line="480" w:lineRule="auto"/>
            </w:pPr>
            <w:r w:rsidRPr="00AE4926">
              <w:rPr>
                <w:rFonts w:eastAsia="Times New Roman" w:cs="Times New Roman"/>
                <w:sz w:val="19"/>
                <w:szCs w:val="19"/>
              </w:rPr>
              <w:t>4-band (B, G, R, NIR)</w:t>
            </w:r>
          </w:p>
        </w:tc>
        <w:tc>
          <w:tcPr>
            <w:tcW w:w="2100" w:type="dxa"/>
          </w:tcPr>
          <w:p w14:paraId="46365717" w14:textId="77777777" w:rsidR="00242F97" w:rsidRPr="00AE4926" w:rsidRDefault="00242F97" w:rsidP="00E35E55">
            <w:pPr>
              <w:spacing w:line="480" w:lineRule="auto"/>
            </w:pPr>
            <w:r w:rsidRPr="00AE4926">
              <w:rPr>
                <w:rFonts w:eastAsia="Times New Roman" w:cs="Times New Roman"/>
                <w:sz w:val="19"/>
                <w:szCs w:val="19"/>
              </w:rPr>
              <w:t>Epoch 1 (~2006)</w:t>
            </w:r>
          </w:p>
        </w:tc>
      </w:tr>
      <w:tr w:rsidR="00AE4926" w:rsidRPr="00AE4926" w14:paraId="26410315" w14:textId="77777777" w:rsidTr="00242F97">
        <w:tc>
          <w:tcPr>
            <w:tcW w:w="1800" w:type="dxa"/>
          </w:tcPr>
          <w:p w14:paraId="03AE9505" w14:textId="77777777" w:rsidR="00242F97" w:rsidRPr="00AE4926" w:rsidRDefault="00242F97" w:rsidP="00E35E55">
            <w:pPr>
              <w:spacing w:line="480" w:lineRule="auto"/>
            </w:pPr>
            <w:r w:rsidRPr="00AE4926">
              <w:rPr>
                <w:rFonts w:eastAsia="Times New Roman" w:cs="Times New Roman"/>
                <w:sz w:val="19"/>
                <w:szCs w:val="19"/>
              </w:rPr>
              <w:t>WorldView-3</w:t>
            </w:r>
          </w:p>
        </w:tc>
        <w:tc>
          <w:tcPr>
            <w:tcW w:w="1500" w:type="dxa"/>
          </w:tcPr>
          <w:p w14:paraId="5B979A36" w14:textId="77777777" w:rsidR="00242F97" w:rsidRPr="00AE4926" w:rsidRDefault="00242F97" w:rsidP="00E35E55">
            <w:pPr>
              <w:spacing w:line="480" w:lineRule="auto"/>
            </w:pPr>
            <w:r w:rsidRPr="00AE4926">
              <w:rPr>
                <w:rFonts w:eastAsia="Times New Roman" w:cs="Times New Roman"/>
                <w:sz w:val="19"/>
                <w:szCs w:val="19"/>
              </w:rPr>
              <w:t>0.31</w:t>
            </w:r>
          </w:p>
        </w:tc>
        <w:tc>
          <w:tcPr>
            <w:tcW w:w="1500" w:type="dxa"/>
          </w:tcPr>
          <w:p w14:paraId="6203E8B3" w14:textId="77777777" w:rsidR="00242F97" w:rsidRPr="00AE4926" w:rsidRDefault="00242F97" w:rsidP="00E35E55">
            <w:pPr>
              <w:spacing w:line="480" w:lineRule="auto"/>
            </w:pPr>
            <w:r w:rsidRPr="00AE4926">
              <w:rPr>
                <w:rFonts w:eastAsia="Times New Roman" w:cs="Times New Roman"/>
                <w:sz w:val="19"/>
                <w:szCs w:val="19"/>
              </w:rPr>
              <w:t>1.24</w:t>
            </w:r>
          </w:p>
        </w:tc>
        <w:tc>
          <w:tcPr>
            <w:tcW w:w="2100" w:type="dxa"/>
          </w:tcPr>
          <w:p w14:paraId="4B03081F" w14:textId="77777777" w:rsidR="00242F97" w:rsidRPr="00AE4926" w:rsidRDefault="00242F97" w:rsidP="00E35E55">
            <w:pPr>
              <w:spacing w:line="480" w:lineRule="auto"/>
            </w:pPr>
            <w:r w:rsidRPr="00AE4926">
              <w:rPr>
                <w:rFonts w:eastAsia="Times New Roman" w:cs="Times New Roman"/>
                <w:sz w:val="19"/>
                <w:szCs w:val="19"/>
              </w:rPr>
              <w:t>8-band MS + SWIR</w:t>
            </w:r>
          </w:p>
        </w:tc>
        <w:tc>
          <w:tcPr>
            <w:tcW w:w="2100" w:type="dxa"/>
          </w:tcPr>
          <w:p w14:paraId="4E5B7915" w14:textId="77777777" w:rsidR="00242F97" w:rsidRPr="00AE4926" w:rsidRDefault="00242F97" w:rsidP="00E35E55">
            <w:pPr>
              <w:spacing w:line="480" w:lineRule="auto"/>
            </w:pPr>
            <w:r w:rsidRPr="00AE4926">
              <w:rPr>
                <w:rFonts w:eastAsia="Times New Roman" w:cs="Times New Roman"/>
                <w:sz w:val="19"/>
                <w:szCs w:val="19"/>
              </w:rPr>
              <w:t>Epoch 2 (~2015) and Epoch 3 (2025)</w:t>
            </w:r>
          </w:p>
        </w:tc>
      </w:tr>
    </w:tbl>
    <w:p w14:paraId="271FF80D" w14:textId="77777777" w:rsidR="00242F97" w:rsidRDefault="00242F97" w:rsidP="00E35E55">
      <w:pPr>
        <w:spacing w:before="80" w:after="80"/>
      </w:pPr>
      <w:r>
        <w:rPr>
          <w:rFonts w:eastAsia="Times New Roman" w:cs="Times New Roman"/>
          <w:b/>
          <w:bCs/>
          <w:color w:val="1A1A1A"/>
          <w:sz w:val="20"/>
          <w:szCs w:val="20"/>
        </w:rPr>
        <w:t xml:space="preserve">Table 2. </w:t>
      </w:r>
      <w:r>
        <w:rPr>
          <w:rFonts w:eastAsia="Times New Roman" w:cs="Times New Roman"/>
          <w:color w:val="1A1A1A"/>
          <w:sz w:val="20"/>
          <w:szCs w:val="20"/>
        </w:rPr>
        <w:t>Sensor specifications for Solomon Islands survey epochs. All imagery delivered as orthorectified, surface-reflectance-corrected products.</w:t>
      </w:r>
    </w:p>
    <w:p w14:paraId="7678D97B" w14:textId="77777777" w:rsidR="00242F97" w:rsidRDefault="00242F97" w:rsidP="00E35E55">
      <w:pPr>
        <w:spacing w:after="120"/>
        <w:ind w:firstLine="720"/>
        <w:jc w:val="both"/>
      </w:pPr>
      <w:r>
        <w:rPr>
          <w:rFonts w:eastAsia="Times New Roman" w:cs="Times New Roman"/>
          <w:color w:val="1A1A1A"/>
          <w:sz w:val="22"/>
          <w:szCs w:val="22"/>
        </w:rPr>
        <w:t>WorldView-3 at 0.31 m panchromatic resolution falls centrally within the 10–40 cm optimal input range of the Esri Africa Building Footprint Extraction deep learning model. QuickBird-2 at 0.61 m lies marginally above this range, which may reduce detection confidence for smaller structures in the 2006 epoch. This sensor difference should be considered when interpreting the 2006–2015 growth rates derived for both sites. The consistent use of WorldView-3 for both 2015 and 2025 means that comparisons between these two epochs are not complicated by resolution-dependent detection differences.</w:t>
      </w:r>
    </w:p>
    <w:p w14:paraId="351DD6BF" w14:textId="77777777" w:rsidR="009A0A67" w:rsidRDefault="009A0A67" w:rsidP="00E35E55">
      <w:pPr>
        <w:spacing w:after="0"/>
        <w:rPr>
          <w:rFonts w:ascii="Arial" w:hAnsi="Arial" w:cs="Arial"/>
          <w:i/>
          <w:iCs/>
        </w:rPr>
      </w:pPr>
    </w:p>
    <w:p w14:paraId="1AC491D7" w14:textId="77777777" w:rsidR="00051F54" w:rsidRDefault="00051F54" w:rsidP="00E35E55">
      <w:pPr>
        <w:spacing w:after="0"/>
        <w:rPr>
          <w:rFonts w:ascii="Arial" w:hAnsi="Arial" w:cs="Arial"/>
          <w:i/>
          <w:iCs/>
          <w:sz w:val="22"/>
          <w:szCs w:val="22"/>
        </w:rPr>
      </w:pPr>
      <w:r w:rsidRPr="00191768">
        <w:rPr>
          <w:rFonts w:ascii="Arial" w:hAnsi="Arial" w:cs="Arial"/>
          <w:i/>
          <w:iCs/>
          <w:sz w:val="22"/>
          <w:szCs w:val="22"/>
        </w:rPr>
        <w:t>Image Preprocessing</w:t>
      </w:r>
    </w:p>
    <w:p w14:paraId="5D6CAEFA" w14:textId="4452A7C9" w:rsidR="00D130BD" w:rsidRDefault="00D130BD" w:rsidP="00E35E55">
      <w:pPr>
        <w:spacing w:after="120"/>
      </w:pPr>
      <w:r>
        <w:rPr>
          <w:rFonts w:eastAsia="Times New Roman" w:cs="Times New Roman"/>
          <w:color w:val="1A1A1A"/>
          <w:sz w:val="22"/>
          <w:szCs w:val="22"/>
        </w:rPr>
        <w:t xml:space="preserve">Pan-sharpening was performed in ArcGIS Pro using the Gram-Schmidt spectral sharpening algorithm, producing a sub-meter resolution composite at the panchromatic band resolution of each sensor. For WorldView-3 imagery, the 8-band multispectral product was fused with the 0.31 m panchromatic band. Following pan-sharpening, a three-band Red-Green-Blue (RGB) composite was prepared using bands 5 (Red), 3 (Green), and 2 (Blue) in </w:t>
      </w:r>
      <w:proofErr w:type="spellStart"/>
      <w:r>
        <w:rPr>
          <w:rFonts w:eastAsia="Times New Roman" w:cs="Times New Roman"/>
          <w:color w:val="1A1A1A"/>
          <w:sz w:val="22"/>
          <w:szCs w:val="22"/>
        </w:rPr>
        <w:t>WorldView</w:t>
      </w:r>
      <w:proofErr w:type="spellEnd"/>
      <w:r>
        <w:rPr>
          <w:rFonts w:eastAsia="Times New Roman" w:cs="Times New Roman"/>
          <w:color w:val="1A1A1A"/>
          <w:sz w:val="22"/>
          <w:szCs w:val="22"/>
        </w:rPr>
        <w:t xml:space="preserve"> sensor band numbering</w:t>
      </w:r>
      <w:r w:rsidR="00217D8F">
        <w:rPr>
          <w:rFonts w:eastAsia="Times New Roman" w:cs="Times New Roman"/>
          <w:color w:val="1A1A1A"/>
          <w:sz w:val="22"/>
          <w:szCs w:val="22"/>
        </w:rPr>
        <w:t xml:space="preserve">. </w:t>
      </w:r>
      <w:r>
        <w:rPr>
          <w:rFonts w:eastAsia="Times New Roman" w:cs="Times New Roman"/>
          <w:color w:val="1A1A1A"/>
          <w:sz w:val="22"/>
          <w:szCs w:val="22"/>
        </w:rPr>
        <w:t xml:space="preserve"> For QuickBird-2 imagery, the standard band assignments were applied. All composites were converted from native 16-bit to 8-bit unsigned integer format using a 2nd–98th percentile linear stretch per band, a preprocessing step required by the deep learning model.</w:t>
      </w:r>
    </w:p>
    <w:p w14:paraId="7F886D66" w14:textId="0D417629" w:rsidR="00D130BD" w:rsidRDefault="00D130BD" w:rsidP="00E35E55">
      <w:pPr>
        <w:spacing w:after="120"/>
        <w:ind w:firstLine="720"/>
      </w:pPr>
      <w:r>
        <w:rPr>
          <w:rFonts w:eastAsia="Times New Roman" w:cs="Times New Roman"/>
          <w:color w:val="1A1A1A"/>
          <w:sz w:val="22"/>
          <w:szCs w:val="22"/>
        </w:rPr>
        <w:t xml:space="preserve">Image co-registration between the three survey epochs was performed using the AROSICS automated co-registration library (Scheffler et al., 2017), implemented in a Python environment. The 2025 WorldView-3 scene served as the positional reference, with earlier-epoch scenes co-registered to it using Band 4 (near-infrared) as the matching channel for </w:t>
      </w:r>
      <w:r w:rsidR="00BE37D4">
        <w:rPr>
          <w:rFonts w:eastAsia="Times New Roman" w:cs="Times New Roman"/>
          <w:color w:val="1A1A1A"/>
          <w:sz w:val="22"/>
          <w:szCs w:val="22"/>
        </w:rPr>
        <w:t>maximizing</w:t>
      </w:r>
      <w:r>
        <w:rPr>
          <w:rFonts w:eastAsia="Times New Roman" w:cs="Times New Roman"/>
          <w:color w:val="1A1A1A"/>
          <w:sz w:val="22"/>
          <w:szCs w:val="22"/>
        </w:rPr>
        <w:t xml:space="preserve"> structural contrast. </w:t>
      </w:r>
    </w:p>
    <w:p w14:paraId="4A2DFC95" w14:textId="77777777" w:rsidR="003E3A32" w:rsidRDefault="003E3A32" w:rsidP="00E35E55">
      <w:pPr>
        <w:spacing w:before="240" w:after="0"/>
        <w:rPr>
          <w:rFonts w:ascii="Arial" w:hAnsi="Arial" w:cs="Arial"/>
          <w:i/>
          <w:iCs/>
          <w:sz w:val="22"/>
          <w:szCs w:val="22"/>
        </w:rPr>
      </w:pPr>
      <w:r w:rsidRPr="004D31FE">
        <w:rPr>
          <w:rFonts w:ascii="Arial" w:hAnsi="Arial" w:cs="Arial"/>
          <w:i/>
          <w:iCs/>
          <w:sz w:val="22"/>
          <w:szCs w:val="22"/>
        </w:rPr>
        <w:t>Deep Learning Building Detection</w:t>
      </w:r>
    </w:p>
    <w:p w14:paraId="0E758B10" w14:textId="0BABD611" w:rsidR="002C2B93" w:rsidRDefault="002C2B93" w:rsidP="00E35E55">
      <w:pPr>
        <w:spacing w:after="120"/>
      </w:pPr>
      <w:r>
        <w:rPr>
          <w:rFonts w:eastAsia="Times New Roman" w:cs="Times New Roman"/>
          <w:color w:val="1A1A1A"/>
          <w:sz w:val="22"/>
          <w:szCs w:val="22"/>
        </w:rPr>
        <w:t>Building footprints were extracted using the Esri Africa Building Footprint Extraction pretrained model, applied via the Detect Objects Using Deep Learning tool in ArcGIS Pro. This model employs a Mask R-CNN instance segmentation architecture with a ResNet-50 backbone and Feature Pyramid Network (FPN), following the architecture of He et al. (2017), and was trained on sub-</w:t>
      </w:r>
      <w:r w:rsidR="00AD53F5">
        <w:rPr>
          <w:rFonts w:eastAsia="Times New Roman" w:cs="Times New Roman"/>
          <w:color w:val="1A1A1A"/>
          <w:sz w:val="22"/>
          <w:szCs w:val="22"/>
        </w:rPr>
        <w:t>meter</w:t>
      </w:r>
      <w:r>
        <w:rPr>
          <w:rFonts w:eastAsia="Times New Roman" w:cs="Times New Roman"/>
          <w:color w:val="1A1A1A"/>
          <w:sz w:val="22"/>
          <w:szCs w:val="22"/>
        </w:rPr>
        <w:t xml:space="preserve"> imagery of diverse African urban environments at a reported average precision of 0.786. The Africa model was selected for Solomon Islands sites over alternative Esri pretrained models </w:t>
      </w:r>
      <w:proofErr w:type="gramStart"/>
      <w:r>
        <w:rPr>
          <w:rFonts w:eastAsia="Times New Roman" w:cs="Times New Roman"/>
          <w:color w:val="1A1A1A"/>
          <w:sz w:val="22"/>
          <w:szCs w:val="22"/>
        </w:rPr>
        <w:t>on the basis of</w:t>
      </w:r>
      <w:proofErr w:type="gramEnd"/>
      <w:r>
        <w:rPr>
          <w:rFonts w:eastAsia="Times New Roman" w:cs="Times New Roman"/>
          <w:color w:val="1A1A1A"/>
          <w:sz w:val="22"/>
          <w:szCs w:val="22"/>
        </w:rPr>
        <w:t xml:space="preserve"> typological similarity between African and Melanesian informal settlement environments</w:t>
      </w:r>
      <w:r w:rsidR="00C15E4C">
        <w:rPr>
          <w:rFonts w:eastAsia="Times New Roman" w:cs="Times New Roman"/>
          <w:color w:val="1A1A1A"/>
          <w:sz w:val="22"/>
          <w:szCs w:val="22"/>
        </w:rPr>
        <w:t>, both of which are</w:t>
      </w:r>
      <w:r>
        <w:rPr>
          <w:rFonts w:eastAsia="Times New Roman" w:cs="Times New Roman"/>
          <w:color w:val="1A1A1A"/>
          <w:sz w:val="22"/>
          <w:szCs w:val="22"/>
        </w:rPr>
        <w:t xml:space="preserve"> </w:t>
      </w:r>
      <w:r w:rsidR="00AD53F5">
        <w:rPr>
          <w:rFonts w:eastAsia="Times New Roman" w:cs="Times New Roman"/>
          <w:color w:val="1A1A1A"/>
          <w:sz w:val="22"/>
          <w:szCs w:val="22"/>
        </w:rPr>
        <w:t>characterized</w:t>
      </w:r>
      <w:r>
        <w:rPr>
          <w:rFonts w:eastAsia="Times New Roman" w:cs="Times New Roman"/>
          <w:color w:val="1A1A1A"/>
          <w:sz w:val="22"/>
          <w:szCs w:val="22"/>
        </w:rPr>
        <w:t xml:space="preserve"> by mixed building materials, high density, and corrugated iron as a dominant roofing material that produces strong spectral signatures in multispectral imagery.</w:t>
      </w:r>
    </w:p>
    <w:p w14:paraId="522BB983" w14:textId="77777777" w:rsidR="008E5113" w:rsidRDefault="008E5113" w:rsidP="00E35E55">
      <w:pPr>
        <w:spacing w:before="240" w:after="0"/>
        <w:rPr>
          <w:rFonts w:ascii="Arial" w:hAnsi="Arial" w:cs="Arial"/>
          <w:i/>
          <w:iCs/>
          <w:sz w:val="22"/>
          <w:szCs w:val="22"/>
        </w:rPr>
      </w:pPr>
      <w:r w:rsidRPr="00747C3C">
        <w:rPr>
          <w:rFonts w:ascii="Arial" w:hAnsi="Arial" w:cs="Arial"/>
          <w:i/>
          <w:iCs/>
          <w:sz w:val="22"/>
          <w:szCs w:val="22"/>
        </w:rPr>
        <w:lastRenderedPageBreak/>
        <w:t>Post-processing</w:t>
      </w:r>
    </w:p>
    <w:p w14:paraId="09CCD65E" w14:textId="16DDBD45" w:rsidR="001E0476" w:rsidRDefault="001E0476" w:rsidP="00E35E55">
      <w:pPr>
        <w:spacing w:after="120"/>
      </w:pPr>
      <w:r>
        <w:rPr>
          <w:rFonts w:eastAsia="Times New Roman" w:cs="Times New Roman"/>
          <w:color w:val="1A1A1A"/>
          <w:sz w:val="22"/>
          <w:szCs w:val="22"/>
        </w:rPr>
        <w:t>A five-stage post-processing pipeline was applied to raw detection outputs at both Solomon Islands sites and all three epochs. Detections were first clipped to the ADB-provided settlement boundary polygons, removing off-settlement false positives. Polygons below 12 m² were then removed to eliminate sub-building noise artefacts while retaining all plausible structures. The Repair Geometry tool was applied to resolve any topological errors before running the Regularize Building Footprints tool with the RIGHT_ANGLES AND DIAGONALS method and a 1.5 m tolerance, snapping edges to rectilinear geometry consistent with constructed buildings. Finally, systematic manual editing was performed to recover missed detections and remove confirmed false positives. Editing was conducted to the extent permitted by the project timeline; results represent the best achievable estimates within that constraint.</w:t>
      </w:r>
    </w:p>
    <w:p w14:paraId="3D80E546" w14:textId="77777777" w:rsidR="00E875B3" w:rsidRPr="00747C3C" w:rsidRDefault="00E875B3" w:rsidP="00E35E55">
      <w:pPr>
        <w:spacing w:before="240" w:after="0"/>
        <w:rPr>
          <w:rFonts w:ascii="Arial" w:hAnsi="Arial" w:cs="Arial"/>
          <w:i/>
          <w:iCs/>
          <w:sz w:val="22"/>
          <w:szCs w:val="22"/>
        </w:rPr>
      </w:pPr>
    </w:p>
    <w:p w14:paraId="45345A4F" w14:textId="77777777" w:rsidR="006D2794" w:rsidRDefault="006D2794" w:rsidP="00E35E55">
      <w:pPr>
        <w:spacing w:after="120"/>
        <w:rPr>
          <w:rFonts w:ascii="Arial" w:hAnsi="Arial" w:cs="Arial"/>
          <w:b/>
          <w:bCs/>
          <w:i/>
          <w:iCs/>
          <w:color w:val="1A1A1A"/>
        </w:rPr>
      </w:pPr>
      <w:r w:rsidRPr="002A2FBD">
        <w:rPr>
          <w:rFonts w:ascii="Arial" w:hAnsi="Arial" w:cs="Arial"/>
          <w:b/>
          <w:bCs/>
          <w:i/>
          <w:iCs/>
          <w:color w:val="1A1A1A"/>
        </w:rPr>
        <w:t>Results and Discussion</w:t>
      </w:r>
    </w:p>
    <w:p w14:paraId="147E1825" w14:textId="0EC6E6FD" w:rsidR="00E26620" w:rsidRDefault="00E26620" w:rsidP="00E35E55">
      <w:pPr>
        <w:spacing w:after="120"/>
      </w:pPr>
      <w:r>
        <w:rPr>
          <w:rFonts w:eastAsia="Times New Roman" w:cs="Times New Roman"/>
          <w:color w:val="1A1A1A"/>
          <w:sz w:val="22"/>
          <w:szCs w:val="22"/>
        </w:rPr>
        <w:t>Results are presented for both Solomon Islands study sites across the three survey epochs. Growth metrics use compound annual growth rates (CAGR), defined as:</w:t>
      </w:r>
    </w:p>
    <w:p w14:paraId="4470FEDC" w14:textId="77777777" w:rsidR="00E26620" w:rsidRDefault="00E26620" w:rsidP="00E35E55">
      <w:pPr>
        <w:spacing w:before="60" w:after="60"/>
        <w:jc w:val="center"/>
      </w:pPr>
      <w:r>
        <w:rPr>
          <w:rFonts w:eastAsia="Times New Roman" w:cs="Times New Roman"/>
          <w:b/>
          <w:bCs/>
          <w:color w:val="0E8A8A"/>
          <w:sz w:val="22"/>
          <w:szCs w:val="22"/>
        </w:rPr>
        <w:t xml:space="preserve">CAGR = (End Count ÷ Start </w:t>
      </w:r>
      <w:proofErr w:type="gramStart"/>
      <w:r>
        <w:rPr>
          <w:rFonts w:eastAsia="Times New Roman" w:cs="Times New Roman"/>
          <w:b/>
          <w:bCs/>
          <w:color w:val="0E8A8A"/>
          <w:sz w:val="22"/>
          <w:szCs w:val="22"/>
        </w:rPr>
        <w:t>Count)^</w:t>
      </w:r>
      <w:proofErr w:type="gramEnd"/>
      <w:r>
        <w:rPr>
          <w:rFonts w:eastAsia="Times New Roman" w:cs="Times New Roman"/>
          <w:b/>
          <w:bCs/>
          <w:color w:val="0E8A8A"/>
          <w:sz w:val="22"/>
          <w:szCs w:val="22"/>
        </w:rPr>
        <w:t>(1 ÷ n years) − 1</w:t>
      </w:r>
    </w:p>
    <w:p w14:paraId="724EC2CB" w14:textId="77777777" w:rsidR="00E26620" w:rsidRDefault="00E26620" w:rsidP="00E35E55">
      <w:pPr>
        <w:spacing w:after="120"/>
      </w:pPr>
      <w:r>
        <w:rPr>
          <w:rFonts w:eastAsia="Times New Roman" w:cs="Times New Roman"/>
          <w:color w:val="1A1A1A"/>
          <w:sz w:val="22"/>
          <w:szCs w:val="22"/>
        </w:rPr>
        <w:t>Results are benchmarked against the ADB Melanesian urban expansion norm of 3–4 percent per year for informal settlement growth (ADB, 2012). Settlement density is assessed against the Pacific informal settlement norm of 15–25 structures per hectare.</w:t>
      </w:r>
    </w:p>
    <w:p w14:paraId="1F65372F" w14:textId="77777777" w:rsidR="004170D8" w:rsidRDefault="004170D8" w:rsidP="00E35E55">
      <w:pPr>
        <w:spacing w:before="240" w:after="0"/>
        <w:rPr>
          <w:rFonts w:ascii="Arial" w:hAnsi="Arial" w:cs="Arial"/>
          <w:i/>
          <w:iCs/>
          <w:sz w:val="22"/>
          <w:szCs w:val="22"/>
        </w:rPr>
      </w:pPr>
      <w:r w:rsidRPr="00BE3691">
        <w:rPr>
          <w:rFonts w:ascii="Arial" w:hAnsi="Arial" w:cs="Arial"/>
          <w:i/>
          <w:iCs/>
          <w:sz w:val="22"/>
          <w:szCs w:val="22"/>
        </w:rPr>
        <w:t>Building Count Growth</w:t>
      </w:r>
    </w:p>
    <w:p w14:paraId="00BE4EB0" w14:textId="116F632E" w:rsidR="009A3572" w:rsidRDefault="009A3572" w:rsidP="00515FD6">
      <w:pPr>
        <w:spacing w:after="120"/>
        <w:ind w:firstLine="720"/>
      </w:pPr>
      <w:r>
        <w:rPr>
          <w:rFonts w:eastAsia="Times New Roman" w:cs="Times New Roman"/>
          <w:color w:val="1A1A1A"/>
          <w:sz w:val="22"/>
          <w:szCs w:val="22"/>
        </w:rPr>
        <w:t xml:space="preserve">Building counts increased at both Solomon Islands study sites across all three survey epochs, reflecting continued informal settlement expansion in the western Honiara peri-urban area. </w:t>
      </w:r>
      <w:r w:rsidR="00A42C02">
        <w:rPr>
          <w:rFonts w:eastAsia="Times New Roman" w:cs="Times New Roman"/>
          <w:color w:val="1A1A1A"/>
          <w:sz w:val="22"/>
          <w:szCs w:val="22"/>
        </w:rPr>
        <w:fldChar w:fldCharType="begin"/>
      </w:r>
      <w:r w:rsidR="00A42C02">
        <w:rPr>
          <w:rFonts w:eastAsia="Times New Roman" w:cs="Times New Roman"/>
          <w:color w:val="1A1A1A"/>
          <w:sz w:val="22"/>
          <w:szCs w:val="22"/>
        </w:rPr>
        <w:instrText xml:space="preserve"> REF _Ref227676731 \h </w:instrText>
      </w:r>
      <w:r w:rsidR="00A42C02">
        <w:rPr>
          <w:rFonts w:eastAsia="Times New Roman" w:cs="Times New Roman"/>
          <w:color w:val="1A1A1A"/>
          <w:sz w:val="22"/>
          <w:szCs w:val="22"/>
        </w:rPr>
      </w:r>
      <w:r w:rsidR="00A42C02">
        <w:rPr>
          <w:rFonts w:eastAsia="Times New Roman" w:cs="Times New Roman"/>
          <w:color w:val="1A1A1A"/>
          <w:sz w:val="22"/>
          <w:szCs w:val="22"/>
        </w:rPr>
        <w:fldChar w:fldCharType="separate"/>
      </w:r>
      <w:r w:rsidR="00A42C02">
        <w:t xml:space="preserve">Table </w:t>
      </w:r>
      <w:r w:rsidR="00A42C02">
        <w:rPr>
          <w:noProof/>
        </w:rPr>
        <w:t>3</w:t>
      </w:r>
      <w:r w:rsidR="00A42C02">
        <w:rPr>
          <w:rFonts w:eastAsia="Times New Roman" w:cs="Times New Roman"/>
          <w:color w:val="1A1A1A"/>
          <w:sz w:val="22"/>
          <w:szCs w:val="22"/>
        </w:rPr>
        <w:fldChar w:fldCharType="end"/>
      </w:r>
      <w:r w:rsidR="00A42C02">
        <w:rPr>
          <w:rFonts w:eastAsia="Times New Roman" w:cs="Times New Roman"/>
          <w:color w:val="1A1A1A"/>
          <w:sz w:val="22"/>
          <w:szCs w:val="22"/>
        </w:rPr>
        <w:t xml:space="preserve"> </w:t>
      </w:r>
      <w:r>
        <w:rPr>
          <w:rFonts w:eastAsia="Times New Roman" w:cs="Times New Roman"/>
          <w:color w:val="1A1A1A"/>
          <w:sz w:val="22"/>
          <w:szCs w:val="22"/>
        </w:rPr>
        <w:t>presents the full building count record for both sites.</w:t>
      </w:r>
    </w:p>
    <w:p w14:paraId="1FDD7089" w14:textId="5A20C113" w:rsidR="009A3572" w:rsidRDefault="00A42C02" w:rsidP="00A42C02">
      <w:pPr>
        <w:pStyle w:val="Caption"/>
      </w:pPr>
      <w:bookmarkStart w:id="71" w:name="_Ref227676731"/>
      <w:bookmarkStart w:id="72" w:name="_Toc228285969"/>
      <w:r>
        <w:t xml:space="preserve">Table </w:t>
      </w:r>
      <w:r>
        <w:fldChar w:fldCharType="begin"/>
      </w:r>
      <w:r>
        <w:instrText xml:space="preserve"> SEQ Table \* ARABIC </w:instrText>
      </w:r>
      <w:r>
        <w:fldChar w:fldCharType="separate"/>
      </w:r>
      <w:r w:rsidR="00C93E55">
        <w:rPr>
          <w:noProof/>
        </w:rPr>
        <w:t>3</w:t>
      </w:r>
      <w:r>
        <w:fldChar w:fldCharType="end"/>
      </w:r>
      <w:bookmarkEnd w:id="71"/>
      <w:r>
        <w:t xml:space="preserve">. </w:t>
      </w:r>
      <w:r w:rsidRPr="00AD71FE">
        <w:t>Building count summary for Solomon Islands study sites across three survey epochs</w:t>
      </w:r>
      <w:bookmarkEnd w:id="72"/>
    </w:p>
    <w:tbl>
      <w:tblPr>
        <w:tblStyle w:val="TableGrid"/>
        <w:tblW w:w="8000" w:type="dxa"/>
        <w:tblLook w:val="04A0" w:firstRow="1" w:lastRow="0" w:firstColumn="1" w:lastColumn="0" w:noHBand="0" w:noVBand="1"/>
      </w:tblPr>
      <w:tblGrid>
        <w:gridCol w:w="2200"/>
        <w:gridCol w:w="1000"/>
        <w:gridCol w:w="1500"/>
        <w:gridCol w:w="1500"/>
        <w:gridCol w:w="1800"/>
      </w:tblGrid>
      <w:tr w:rsidR="009A3572" w:rsidRPr="009A3572" w14:paraId="35B88440" w14:textId="77777777" w:rsidTr="009A3572">
        <w:tc>
          <w:tcPr>
            <w:tcW w:w="2200" w:type="dxa"/>
          </w:tcPr>
          <w:p w14:paraId="0D32ECE6" w14:textId="77777777" w:rsidR="009A3572" w:rsidRPr="009A3572" w:rsidRDefault="009A3572" w:rsidP="00E35E55">
            <w:pPr>
              <w:spacing w:line="480" w:lineRule="auto"/>
              <w:jc w:val="center"/>
            </w:pPr>
            <w:r w:rsidRPr="009A3572">
              <w:rPr>
                <w:rFonts w:ascii="Arial" w:eastAsia="Arial" w:hAnsi="Arial" w:cs="Arial"/>
                <w:b/>
                <w:bCs/>
                <w:sz w:val="19"/>
                <w:szCs w:val="19"/>
              </w:rPr>
              <w:lastRenderedPageBreak/>
              <w:t>Site</w:t>
            </w:r>
          </w:p>
        </w:tc>
        <w:tc>
          <w:tcPr>
            <w:tcW w:w="1000" w:type="dxa"/>
          </w:tcPr>
          <w:p w14:paraId="75B6EA36" w14:textId="77777777" w:rsidR="009A3572" w:rsidRPr="009A3572" w:rsidRDefault="009A3572" w:rsidP="00E35E55">
            <w:pPr>
              <w:spacing w:line="480" w:lineRule="auto"/>
              <w:jc w:val="center"/>
            </w:pPr>
            <w:r w:rsidRPr="009A3572">
              <w:rPr>
                <w:rFonts w:ascii="Arial" w:eastAsia="Arial" w:hAnsi="Arial" w:cs="Arial"/>
                <w:b/>
                <w:bCs/>
                <w:sz w:val="19"/>
                <w:szCs w:val="19"/>
              </w:rPr>
              <w:t>Year</w:t>
            </w:r>
          </w:p>
        </w:tc>
        <w:tc>
          <w:tcPr>
            <w:tcW w:w="1500" w:type="dxa"/>
          </w:tcPr>
          <w:p w14:paraId="05441A16" w14:textId="77777777" w:rsidR="009A3572" w:rsidRPr="009A3572" w:rsidRDefault="009A3572" w:rsidP="00E35E55">
            <w:pPr>
              <w:spacing w:line="480" w:lineRule="auto"/>
              <w:jc w:val="center"/>
            </w:pPr>
            <w:r w:rsidRPr="009A3572">
              <w:rPr>
                <w:rFonts w:ascii="Arial" w:eastAsia="Arial" w:hAnsi="Arial" w:cs="Arial"/>
                <w:b/>
                <w:bCs/>
                <w:sz w:val="19"/>
                <w:szCs w:val="19"/>
              </w:rPr>
              <w:t>Building Count</w:t>
            </w:r>
          </w:p>
        </w:tc>
        <w:tc>
          <w:tcPr>
            <w:tcW w:w="1500" w:type="dxa"/>
          </w:tcPr>
          <w:p w14:paraId="20A96E9F" w14:textId="77777777" w:rsidR="009A3572" w:rsidRPr="009A3572" w:rsidRDefault="009A3572" w:rsidP="00E35E55">
            <w:pPr>
              <w:spacing w:line="480" w:lineRule="auto"/>
              <w:jc w:val="center"/>
            </w:pPr>
            <w:r w:rsidRPr="009A3572">
              <w:rPr>
                <w:rFonts w:ascii="Arial" w:eastAsia="Arial" w:hAnsi="Arial" w:cs="Arial"/>
                <w:b/>
                <w:bCs/>
                <w:sz w:val="19"/>
                <w:szCs w:val="19"/>
              </w:rPr>
              <w:t>Δ from prev. epoch</w:t>
            </w:r>
          </w:p>
        </w:tc>
        <w:tc>
          <w:tcPr>
            <w:tcW w:w="1800" w:type="dxa"/>
          </w:tcPr>
          <w:p w14:paraId="1F059F2F" w14:textId="77777777" w:rsidR="009A3572" w:rsidRPr="009A3572" w:rsidRDefault="009A3572" w:rsidP="00E35E55">
            <w:pPr>
              <w:spacing w:line="480" w:lineRule="auto"/>
              <w:jc w:val="center"/>
            </w:pPr>
            <w:r w:rsidRPr="009A3572">
              <w:rPr>
                <w:rFonts w:ascii="Arial" w:eastAsia="Arial" w:hAnsi="Arial" w:cs="Arial"/>
                <w:b/>
                <w:bCs/>
                <w:sz w:val="19"/>
                <w:szCs w:val="19"/>
              </w:rPr>
              <w:t>Boundary Area (ha)</w:t>
            </w:r>
          </w:p>
        </w:tc>
      </w:tr>
      <w:tr w:rsidR="009A3572" w:rsidRPr="009A3572" w14:paraId="0BB74103" w14:textId="77777777" w:rsidTr="009A3572">
        <w:tc>
          <w:tcPr>
            <w:tcW w:w="2200" w:type="dxa"/>
          </w:tcPr>
          <w:p w14:paraId="02B64B3E" w14:textId="77777777" w:rsidR="009A3572" w:rsidRPr="009A3572" w:rsidRDefault="009A3572" w:rsidP="00E35E55">
            <w:pPr>
              <w:spacing w:line="480" w:lineRule="auto"/>
            </w:pPr>
            <w:r w:rsidRPr="009A3572">
              <w:rPr>
                <w:rFonts w:eastAsia="Times New Roman" w:cs="Times New Roman"/>
                <w:sz w:val="19"/>
                <w:szCs w:val="19"/>
              </w:rPr>
              <w:t>White River</w:t>
            </w:r>
          </w:p>
        </w:tc>
        <w:tc>
          <w:tcPr>
            <w:tcW w:w="1000" w:type="dxa"/>
          </w:tcPr>
          <w:p w14:paraId="267141A6" w14:textId="77777777" w:rsidR="009A3572" w:rsidRPr="009A3572" w:rsidRDefault="009A3572" w:rsidP="00E35E55">
            <w:pPr>
              <w:spacing w:line="480" w:lineRule="auto"/>
            </w:pPr>
            <w:r w:rsidRPr="009A3572">
              <w:rPr>
                <w:rFonts w:eastAsia="Times New Roman" w:cs="Times New Roman"/>
                <w:sz w:val="19"/>
                <w:szCs w:val="19"/>
              </w:rPr>
              <w:t>2006</w:t>
            </w:r>
          </w:p>
        </w:tc>
        <w:tc>
          <w:tcPr>
            <w:tcW w:w="1500" w:type="dxa"/>
          </w:tcPr>
          <w:p w14:paraId="61F032A7" w14:textId="77777777" w:rsidR="009A3572" w:rsidRPr="009A3572" w:rsidRDefault="009A3572" w:rsidP="00E35E55">
            <w:pPr>
              <w:spacing w:line="480" w:lineRule="auto"/>
            </w:pPr>
            <w:r w:rsidRPr="009A3572">
              <w:rPr>
                <w:rFonts w:eastAsia="Times New Roman" w:cs="Times New Roman"/>
                <w:sz w:val="19"/>
                <w:szCs w:val="19"/>
              </w:rPr>
              <w:t>280</w:t>
            </w:r>
          </w:p>
        </w:tc>
        <w:tc>
          <w:tcPr>
            <w:tcW w:w="1500" w:type="dxa"/>
          </w:tcPr>
          <w:p w14:paraId="56D42E19" w14:textId="77777777" w:rsidR="009A3572" w:rsidRPr="009A3572" w:rsidRDefault="009A3572" w:rsidP="00E35E55">
            <w:pPr>
              <w:spacing w:line="480" w:lineRule="auto"/>
            </w:pPr>
            <w:r w:rsidRPr="009A3572">
              <w:rPr>
                <w:rFonts w:eastAsia="Times New Roman" w:cs="Times New Roman"/>
                <w:sz w:val="19"/>
                <w:szCs w:val="19"/>
              </w:rPr>
              <w:t>—</w:t>
            </w:r>
          </w:p>
        </w:tc>
        <w:tc>
          <w:tcPr>
            <w:tcW w:w="1800" w:type="dxa"/>
          </w:tcPr>
          <w:p w14:paraId="24F95178" w14:textId="77777777" w:rsidR="009A3572" w:rsidRPr="009A3572" w:rsidRDefault="009A3572" w:rsidP="00E35E55">
            <w:pPr>
              <w:spacing w:line="480" w:lineRule="auto"/>
            </w:pPr>
            <w:r w:rsidRPr="009A3572">
              <w:rPr>
                <w:rFonts w:eastAsia="Times New Roman" w:cs="Times New Roman"/>
                <w:sz w:val="19"/>
                <w:szCs w:val="19"/>
              </w:rPr>
              <w:t>47.59</w:t>
            </w:r>
          </w:p>
        </w:tc>
      </w:tr>
      <w:tr w:rsidR="009A3572" w:rsidRPr="009A3572" w14:paraId="0BD37227" w14:textId="77777777" w:rsidTr="009A3572">
        <w:tc>
          <w:tcPr>
            <w:tcW w:w="2200" w:type="dxa"/>
          </w:tcPr>
          <w:p w14:paraId="1045D075" w14:textId="77777777" w:rsidR="009A3572" w:rsidRPr="009A3572" w:rsidRDefault="009A3572" w:rsidP="00E35E55">
            <w:pPr>
              <w:spacing w:line="480" w:lineRule="auto"/>
            </w:pPr>
            <w:r w:rsidRPr="009A3572">
              <w:rPr>
                <w:rFonts w:eastAsia="Times New Roman" w:cs="Times New Roman"/>
                <w:sz w:val="19"/>
                <w:szCs w:val="19"/>
              </w:rPr>
              <w:t>White River</w:t>
            </w:r>
          </w:p>
        </w:tc>
        <w:tc>
          <w:tcPr>
            <w:tcW w:w="1000" w:type="dxa"/>
          </w:tcPr>
          <w:p w14:paraId="615ACD1A" w14:textId="77777777" w:rsidR="009A3572" w:rsidRPr="009A3572" w:rsidRDefault="009A3572" w:rsidP="00E35E55">
            <w:pPr>
              <w:spacing w:line="480" w:lineRule="auto"/>
            </w:pPr>
            <w:r w:rsidRPr="009A3572">
              <w:rPr>
                <w:rFonts w:eastAsia="Times New Roman" w:cs="Times New Roman"/>
                <w:sz w:val="19"/>
                <w:szCs w:val="19"/>
              </w:rPr>
              <w:t>2015</w:t>
            </w:r>
          </w:p>
        </w:tc>
        <w:tc>
          <w:tcPr>
            <w:tcW w:w="1500" w:type="dxa"/>
          </w:tcPr>
          <w:p w14:paraId="737B4BEA" w14:textId="77777777" w:rsidR="009A3572" w:rsidRPr="009A3572" w:rsidRDefault="009A3572" w:rsidP="00E35E55">
            <w:pPr>
              <w:spacing w:line="480" w:lineRule="auto"/>
            </w:pPr>
            <w:r w:rsidRPr="009A3572">
              <w:rPr>
                <w:rFonts w:eastAsia="Times New Roman" w:cs="Times New Roman"/>
                <w:sz w:val="19"/>
                <w:szCs w:val="19"/>
              </w:rPr>
              <w:t>503</w:t>
            </w:r>
          </w:p>
        </w:tc>
        <w:tc>
          <w:tcPr>
            <w:tcW w:w="1500" w:type="dxa"/>
          </w:tcPr>
          <w:p w14:paraId="5C1C384E" w14:textId="77777777" w:rsidR="009A3572" w:rsidRPr="009A3572" w:rsidRDefault="009A3572" w:rsidP="00E35E55">
            <w:pPr>
              <w:spacing w:line="480" w:lineRule="auto"/>
            </w:pPr>
            <w:r w:rsidRPr="009A3572">
              <w:rPr>
                <w:rFonts w:eastAsia="Times New Roman" w:cs="Times New Roman"/>
                <w:sz w:val="19"/>
                <w:szCs w:val="19"/>
              </w:rPr>
              <w:t>+223</w:t>
            </w:r>
          </w:p>
        </w:tc>
        <w:tc>
          <w:tcPr>
            <w:tcW w:w="1800" w:type="dxa"/>
          </w:tcPr>
          <w:p w14:paraId="41A9028B" w14:textId="77777777" w:rsidR="009A3572" w:rsidRPr="009A3572" w:rsidRDefault="009A3572" w:rsidP="00E35E55">
            <w:pPr>
              <w:spacing w:line="480" w:lineRule="auto"/>
            </w:pPr>
            <w:r w:rsidRPr="009A3572">
              <w:rPr>
                <w:rFonts w:eastAsia="Times New Roman" w:cs="Times New Roman"/>
                <w:sz w:val="19"/>
                <w:szCs w:val="19"/>
              </w:rPr>
              <w:t>47.59</w:t>
            </w:r>
          </w:p>
        </w:tc>
      </w:tr>
      <w:tr w:rsidR="009A3572" w:rsidRPr="009A3572" w14:paraId="50902C9F" w14:textId="77777777" w:rsidTr="009A3572">
        <w:tc>
          <w:tcPr>
            <w:tcW w:w="2200" w:type="dxa"/>
          </w:tcPr>
          <w:p w14:paraId="49CF0BF9" w14:textId="77777777" w:rsidR="009A3572" w:rsidRPr="009A3572" w:rsidRDefault="009A3572" w:rsidP="00E35E55">
            <w:pPr>
              <w:spacing w:line="480" w:lineRule="auto"/>
            </w:pPr>
            <w:r w:rsidRPr="009A3572">
              <w:rPr>
                <w:rFonts w:eastAsia="Times New Roman" w:cs="Times New Roman"/>
                <w:sz w:val="19"/>
                <w:szCs w:val="19"/>
              </w:rPr>
              <w:t>White River</w:t>
            </w:r>
          </w:p>
        </w:tc>
        <w:tc>
          <w:tcPr>
            <w:tcW w:w="1000" w:type="dxa"/>
          </w:tcPr>
          <w:p w14:paraId="270B2613" w14:textId="77777777" w:rsidR="009A3572" w:rsidRPr="009A3572" w:rsidRDefault="009A3572" w:rsidP="00E35E55">
            <w:pPr>
              <w:spacing w:line="480" w:lineRule="auto"/>
            </w:pPr>
            <w:r w:rsidRPr="009A3572">
              <w:rPr>
                <w:rFonts w:eastAsia="Times New Roman" w:cs="Times New Roman"/>
                <w:sz w:val="19"/>
                <w:szCs w:val="19"/>
              </w:rPr>
              <w:t>2025</w:t>
            </w:r>
          </w:p>
        </w:tc>
        <w:tc>
          <w:tcPr>
            <w:tcW w:w="1500" w:type="dxa"/>
          </w:tcPr>
          <w:p w14:paraId="71C07FD7" w14:textId="77777777" w:rsidR="009A3572" w:rsidRPr="009A3572" w:rsidRDefault="009A3572" w:rsidP="00E35E55">
            <w:pPr>
              <w:spacing w:line="480" w:lineRule="auto"/>
            </w:pPr>
            <w:r w:rsidRPr="009A3572">
              <w:rPr>
                <w:rFonts w:eastAsia="Times New Roman" w:cs="Times New Roman"/>
                <w:sz w:val="19"/>
                <w:szCs w:val="19"/>
              </w:rPr>
              <w:t>608</w:t>
            </w:r>
          </w:p>
        </w:tc>
        <w:tc>
          <w:tcPr>
            <w:tcW w:w="1500" w:type="dxa"/>
          </w:tcPr>
          <w:p w14:paraId="00F54C40" w14:textId="77777777" w:rsidR="009A3572" w:rsidRPr="009A3572" w:rsidRDefault="009A3572" w:rsidP="00E35E55">
            <w:pPr>
              <w:spacing w:line="480" w:lineRule="auto"/>
            </w:pPr>
            <w:r w:rsidRPr="009A3572">
              <w:rPr>
                <w:rFonts w:eastAsia="Times New Roman" w:cs="Times New Roman"/>
                <w:sz w:val="19"/>
                <w:szCs w:val="19"/>
              </w:rPr>
              <w:t>+105</w:t>
            </w:r>
          </w:p>
        </w:tc>
        <w:tc>
          <w:tcPr>
            <w:tcW w:w="1800" w:type="dxa"/>
          </w:tcPr>
          <w:p w14:paraId="5D7AF184" w14:textId="77777777" w:rsidR="009A3572" w:rsidRPr="009A3572" w:rsidRDefault="009A3572" w:rsidP="00E35E55">
            <w:pPr>
              <w:spacing w:line="480" w:lineRule="auto"/>
            </w:pPr>
            <w:r w:rsidRPr="009A3572">
              <w:rPr>
                <w:rFonts w:eastAsia="Times New Roman" w:cs="Times New Roman"/>
                <w:sz w:val="19"/>
                <w:szCs w:val="19"/>
              </w:rPr>
              <w:t>47.59</w:t>
            </w:r>
          </w:p>
        </w:tc>
      </w:tr>
      <w:tr w:rsidR="009A3572" w:rsidRPr="009A3572" w14:paraId="1727C247" w14:textId="77777777" w:rsidTr="009A3572">
        <w:tc>
          <w:tcPr>
            <w:tcW w:w="2200" w:type="dxa"/>
          </w:tcPr>
          <w:p w14:paraId="460CA2A2" w14:textId="77777777" w:rsidR="009A3572" w:rsidRPr="009A3572" w:rsidRDefault="009A3572" w:rsidP="00E35E55">
            <w:pPr>
              <w:spacing w:line="480" w:lineRule="auto"/>
            </w:pPr>
            <w:proofErr w:type="spellStart"/>
            <w:r w:rsidRPr="009A3572">
              <w:rPr>
                <w:rFonts w:eastAsia="Times New Roman" w:cs="Times New Roman"/>
                <w:sz w:val="19"/>
                <w:szCs w:val="19"/>
              </w:rPr>
              <w:t>Mbumburu</w:t>
            </w:r>
            <w:proofErr w:type="spellEnd"/>
          </w:p>
        </w:tc>
        <w:tc>
          <w:tcPr>
            <w:tcW w:w="1000" w:type="dxa"/>
          </w:tcPr>
          <w:p w14:paraId="6DC7F6A4" w14:textId="77777777" w:rsidR="009A3572" w:rsidRPr="009A3572" w:rsidRDefault="009A3572" w:rsidP="00E35E55">
            <w:pPr>
              <w:spacing w:line="480" w:lineRule="auto"/>
            </w:pPr>
            <w:r w:rsidRPr="009A3572">
              <w:rPr>
                <w:rFonts w:eastAsia="Times New Roman" w:cs="Times New Roman"/>
                <w:sz w:val="19"/>
                <w:szCs w:val="19"/>
              </w:rPr>
              <w:t>2006</w:t>
            </w:r>
          </w:p>
        </w:tc>
        <w:tc>
          <w:tcPr>
            <w:tcW w:w="1500" w:type="dxa"/>
          </w:tcPr>
          <w:p w14:paraId="2B4DF0F5" w14:textId="77777777" w:rsidR="009A3572" w:rsidRPr="009A3572" w:rsidRDefault="009A3572" w:rsidP="00E35E55">
            <w:pPr>
              <w:spacing w:line="480" w:lineRule="auto"/>
            </w:pPr>
            <w:r w:rsidRPr="009A3572">
              <w:rPr>
                <w:rFonts w:eastAsia="Times New Roman" w:cs="Times New Roman"/>
                <w:sz w:val="19"/>
                <w:szCs w:val="19"/>
              </w:rPr>
              <w:t>156</w:t>
            </w:r>
          </w:p>
        </w:tc>
        <w:tc>
          <w:tcPr>
            <w:tcW w:w="1500" w:type="dxa"/>
          </w:tcPr>
          <w:p w14:paraId="6821B8C0" w14:textId="77777777" w:rsidR="009A3572" w:rsidRPr="009A3572" w:rsidRDefault="009A3572" w:rsidP="00E35E55">
            <w:pPr>
              <w:spacing w:line="480" w:lineRule="auto"/>
            </w:pPr>
            <w:r w:rsidRPr="009A3572">
              <w:rPr>
                <w:rFonts w:eastAsia="Times New Roman" w:cs="Times New Roman"/>
                <w:sz w:val="19"/>
                <w:szCs w:val="19"/>
              </w:rPr>
              <w:t>—</w:t>
            </w:r>
          </w:p>
        </w:tc>
        <w:tc>
          <w:tcPr>
            <w:tcW w:w="1800" w:type="dxa"/>
          </w:tcPr>
          <w:p w14:paraId="70B97E1B" w14:textId="77777777" w:rsidR="009A3572" w:rsidRPr="009A3572" w:rsidRDefault="009A3572" w:rsidP="00E35E55">
            <w:pPr>
              <w:spacing w:line="480" w:lineRule="auto"/>
            </w:pPr>
            <w:r w:rsidRPr="009A3572">
              <w:rPr>
                <w:rFonts w:eastAsia="Times New Roman" w:cs="Times New Roman"/>
                <w:sz w:val="19"/>
                <w:szCs w:val="19"/>
              </w:rPr>
              <w:t>40.98</w:t>
            </w:r>
          </w:p>
        </w:tc>
      </w:tr>
      <w:tr w:rsidR="009A3572" w:rsidRPr="009A3572" w14:paraId="1A489D03" w14:textId="77777777" w:rsidTr="009A3572">
        <w:tc>
          <w:tcPr>
            <w:tcW w:w="2200" w:type="dxa"/>
          </w:tcPr>
          <w:p w14:paraId="6B54E9FE" w14:textId="77777777" w:rsidR="009A3572" w:rsidRPr="009A3572" w:rsidRDefault="009A3572" w:rsidP="00E35E55">
            <w:pPr>
              <w:spacing w:line="480" w:lineRule="auto"/>
            </w:pPr>
            <w:proofErr w:type="spellStart"/>
            <w:r w:rsidRPr="009A3572">
              <w:rPr>
                <w:rFonts w:eastAsia="Times New Roman" w:cs="Times New Roman"/>
                <w:sz w:val="19"/>
                <w:szCs w:val="19"/>
              </w:rPr>
              <w:t>Mbumburu</w:t>
            </w:r>
            <w:proofErr w:type="spellEnd"/>
          </w:p>
        </w:tc>
        <w:tc>
          <w:tcPr>
            <w:tcW w:w="1000" w:type="dxa"/>
          </w:tcPr>
          <w:p w14:paraId="33A1AB10" w14:textId="77777777" w:rsidR="009A3572" w:rsidRPr="009A3572" w:rsidRDefault="009A3572" w:rsidP="00E35E55">
            <w:pPr>
              <w:spacing w:line="480" w:lineRule="auto"/>
            </w:pPr>
            <w:r w:rsidRPr="009A3572">
              <w:rPr>
                <w:rFonts w:eastAsia="Times New Roman" w:cs="Times New Roman"/>
                <w:sz w:val="19"/>
                <w:szCs w:val="19"/>
              </w:rPr>
              <w:t>2015</w:t>
            </w:r>
          </w:p>
        </w:tc>
        <w:tc>
          <w:tcPr>
            <w:tcW w:w="1500" w:type="dxa"/>
          </w:tcPr>
          <w:p w14:paraId="5C2C4CF8" w14:textId="77777777" w:rsidR="009A3572" w:rsidRPr="009A3572" w:rsidRDefault="009A3572" w:rsidP="00E35E55">
            <w:pPr>
              <w:spacing w:line="480" w:lineRule="auto"/>
            </w:pPr>
            <w:r w:rsidRPr="009A3572">
              <w:rPr>
                <w:rFonts w:eastAsia="Times New Roman" w:cs="Times New Roman"/>
                <w:sz w:val="19"/>
                <w:szCs w:val="19"/>
              </w:rPr>
              <w:t>260</w:t>
            </w:r>
          </w:p>
        </w:tc>
        <w:tc>
          <w:tcPr>
            <w:tcW w:w="1500" w:type="dxa"/>
          </w:tcPr>
          <w:p w14:paraId="2A919CDD" w14:textId="77777777" w:rsidR="009A3572" w:rsidRPr="009A3572" w:rsidRDefault="009A3572" w:rsidP="00E35E55">
            <w:pPr>
              <w:spacing w:line="480" w:lineRule="auto"/>
            </w:pPr>
            <w:r w:rsidRPr="009A3572">
              <w:rPr>
                <w:rFonts w:eastAsia="Times New Roman" w:cs="Times New Roman"/>
                <w:sz w:val="19"/>
                <w:szCs w:val="19"/>
              </w:rPr>
              <w:t>+104</w:t>
            </w:r>
          </w:p>
        </w:tc>
        <w:tc>
          <w:tcPr>
            <w:tcW w:w="1800" w:type="dxa"/>
          </w:tcPr>
          <w:p w14:paraId="2F3B8ACD" w14:textId="77777777" w:rsidR="009A3572" w:rsidRPr="009A3572" w:rsidRDefault="009A3572" w:rsidP="00E35E55">
            <w:pPr>
              <w:spacing w:line="480" w:lineRule="auto"/>
            </w:pPr>
            <w:r w:rsidRPr="009A3572">
              <w:rPr>
                <w:rFonts w:eastAsia="Times New Roman" w:cs="Times New Roman"/>
                <w:sz w:val="19"/>
                <w:szCs w:val="19"/>
              </w:rPr>
              <w:t>40.98</w:t>
            </w:r>
          </w:p>
        </w:tc>
      </w:tr>
      <w:tr w:rsidR="009A3572" w:rsidRPr="009A3572" w14:paraId="3D60EB6E" w14:textId="77777777" w:rsidTr="009A3572">
        <w:tc>
          <w:tcPr>
            <w:tcW w:w="2200" w:type="dxa"/>
          </w:tcPr>
          <w:p w14:paraId="6EBC3AF4" w14:textId="77777777" w:rsidR="009A3572" w:rsidRPr="009A3572" w:rsidRDefault="009A3572" w:rsidP="00E35E55">
            <w:pPr>
              <w:spacing w:line="480" w:lineRule="auto"/>
            </w:pPr>
            <w:proofErr w:type="spellStart"/>
            <w:r w:rsidRPr="009A3572">
              <w:rPr>
                <w:rFonts w:eastAsia="Times New Roman" w:cs="Times New Roman"/>
                <w:sz w:val="19"/>
                <w:szCs w:val="19"/>
              </w:rPr>
              <w:t>Mbumburu</w:t>
            </w:r>
            <w:proofErr w:type="spellEnd"/>
          </w:p>
        </w:tc>
        <w:tc>
          <w:tcPr>
            <w:tcW w:w="1000" w:type="dxa"/>
          </w:tcPr>
          <w:p w14:paraId="462E8BB1" w14:textId="77777777" w:rsidR="009A3572" w:rsidRPr="009A3572" w:rsidRDefault="009A3572" w:rsidP="00E35E55">
            <w:pPr>
              <w:spacing w:line="480" w:lineRule="auto"/>
            </w:pPr>
            <w:r w:rsidRPr="009A3572">
              <w:rPr>
                <w:rFonts w:eastAsia="Times New Roman" w:cs="Times New Roman"/>
                <w:sz w:val="19"/>
                <w:szCs w:val="19"/>
              </w:rPr>
              <w:t>2025</w:t>
            </w:r>
          </w:p>
        </w:tc>
        <w:tc>
          <w:tcPr>
            <w:tcW w:w="1500" w:type="dxa"/>
          </w:tcPr>
          <w:p w14:paraId="02B1D242" w14:textId="77777777" w:rsidR="009A3572" w:rsidRPr="009A3572" w:rsidRDefault="009A3572" w:rsidP="00E35E55">
            <w:pPr>
              <w:spacing w:line="480" w:lineRule="auto"/>
            </w:pPr>
            <w:r w:rsidRPr="009A3572">
              <w:rPr>
                <w:rFonts w:eastAsia="Times New Roman" w:cs="Times New Roman"/>
                <w:sz w:val="19"/>
                <w:szCs w:val="19"/>
              </w:rPr>
              <w:t>348</w:t>
            </w:r>
          </w:p>
        </w:tc>
        <w:tc>
          <w:tcPr>
            <w:tcW w:w="1500" w:type="dxa"/>
          </w:tcPr>
          <w:p w14:paraId="7ADBCFFE" w14:textId="77777777" w:rsidR="009A3572" w:rsidRPr="009A3572" w:rsidRDefault="009A3572" w:rsidP="00E35E55">
            <w:pPr>
              <w:spacing w:line="480" w:lineRule="auto"/>
            </w:pPr>
            <w:r w:rsidRPr="009A3572">
              <w:rPr>
                <w:rFonts w:eastAsia="Times New Roman" w:cs="Times New Roman"/>
                <w:sz w:val="19"/>
                <w:szCs w:val="19"/>
              </w:rPr>
              <w:t>+88</w:t>
            </w:r>
          </w:p>
        </w:tc>
        <w:tc>
          <w:tcPr>
            <w:tcW w:w="1800" w:type="dxa"/>
          </w:tcPr>
          <w:p w14:paraId="5DC72EF2" w14:textId="77777777" w:rsidR="009A3572" w:rsidRPr="009A3572" w:rsidRDefault="009A3572" w:rsidP="00E35E55">
            <w:pPr>
              <w:spacing w:line="480" w:lineRule="auto"/>
            </w:pPr>
            <w:r w:rsidRPr="009A3572">
              <w:rPr>
                <w:rFonts w:eastAsia="Times New Roman" w:cs="Times New Roman"/>
                <w:sz w:val="19"/>
                <w:szCs w:val="19"/>
              </w:rPr>
              <w:t>40.98</w:t>
            </w:r>
          </w:p>
        </w:tc>
      </w:tr>
    </w:tbl>
    <w:p w14:paraId="4A34BBEB" w14:textId="35C89680" w:rsidR="009A3572" w:rsidRDefault="009A3572" w:rsidP="00E35E55">
      <w:pPr>
        <w:spacing w:before="80" w:after="80"/>
      </w:pPr>
    </w:p>
    <w:p w14:paraId="54C62671" w14:textId="067FE5BB" w:rsidR="009A3572" w:rsidRDefault="00515FD6" w:rsidP="00515FD6">
      <w:pPr>
        <w:spacing w:after="120"/>
        <w:ind w:firstLine="720"/>
      </w:pPr>
      <w:r>
        <w:rPr>
          <w:rFonts w:eastAsia="Times New Roman" w:cs="Times New Roman"/>
          <w:color w:val="1A1A1A"/>
          <w:sz w:val="22"/>
          <w:szCs w:val="22"/>
        </w:rPr>
        <w:fldChar w:fldCharType="begin"/>
      </w:r>
      <w:r>
        <w:rPr>
          <w:rFonts w:eastAsia="Times New Roman" w:cs="Times New Roman"/>
          <w:color w:val="1A1A1A"/>
          <w:sz w:val="22"/>
          <w:szCs w:val="22"/>
        </w:rPr>
        <w:instrText xml:space="preserve"> REF _Ref227676832 \h </w:instrText>
      </w:r>
      <w:r>
        <w:rPr>
          <w:rFonts w:eastAsia="Times New Roman" w:cs="Times New Roman"/>
          <w:color w:val="1A1A1A"/>
          <w:sz w:val="22"/>
          <w:szCs w:val="22"/>
        </w:rPr>
      </w:r>
      <w:r>
        <w:rPr>
          <w:rFonts w:eastAsia="Times New Roman" w:cs="Times New Roman"/>
          <w:color w:val="1A1A1A"/>
          <w:sz w:val="22"/>
          <w:szCs w:val="22"/>
        </w:rPr>
        <w:fldChar w:fldCharType="separate"/>
      </w:r>
      <w:r>
        <w:t xml:space="preserve">Figure </w:t>
      </w:r>
      <w:r>
        <w:rPr>
          <w:noProof/>
        </w:rPr>
        <w:t>10</w:t>
      </w:r>
      <w:r>
        <w:rPr>
          <w:rFonts w:eastAsia="Times New Roman" w:cs="Times New Roman"/>
          <w:color w:val="1A1A1A"/>
          <w:sz w:val="22"/>
          <w:szCs w:val="22"/>
        </w:rPr>
        <w:fldChar w:fldCharType="end"/>
      </w:r>
      <w:r w:rsidR="009A3572">
        <w:rPr>
          <w:rFonts w:eastAsia="Times New Roman" w:cs="Times New Roman"/>
          <w:color w:val="1A1A1A"/>
          <w:sz w:val="22"/>
          <w:szCs w:val="22"/>
        </w:rPr>
        <w:t xml:space="preserve"> presents the building count trajectories for both sites. White River, the larger of the two sites by both area and building stock, grew from 280 structures in 2006 to 608 in 2025 — more than doubling over the study period. </w:t>
      </w:r>
      <w:proofErr w:type="spellStart"/>
      <w:r w:rsidR="009A3572">
        <w:rPr>
          <w:rFonts w:eastAsia="Times New Roman" w:cs="Times New Roman"/>
          <w:color w:val="1A1A1A"/>
          <w:sz w:val="22"/>
          <w:szCs w:val="22"/>
        </w:rPr>
        <w:t>Mbumburu</w:t>
      </w:r>
      <w:proofErr w:type="spellEnd"/>
      <w:r w:rsidR="009A3572">
        <w:rPr>
          <w:rFonts w:eastAsia="Times New Roman" w:cs="Times New Roman"/>
          <w:color w:val="1A1A1A"/>
          <w:sz w:val="22"/>
          <w:szCs w:val="22"/>
        </w:rPr>
        <w:t xml:space="preserve"> grew from 156 to 348 structures over the same period, also more than doubling. Both sites show a consistent pattern: rapid growth in the 2006–2015 interval followed by a noticeably slower rate in the 2015–2025 interval, which is </w:t>
      </w:r>
      <w:proofErr w:type="spellStart"/>
      <w:r w:rsidR="009A3572">
        <w:rPr>
          <w:rFonts w:eastAsia="Times New Roman" w:cs="Times New Roman"/>
          <w:color w:val="1A1A1A"/>
          <w:sz w:val="22"/>
          <w:szCs w:val="22"/>
        </w:rPr>
        <w:t>analysed</w:t>
      </w:r>
      <w:proofErr w:type="spellEnd"/>
      <w:r w:rsidR="009A3572">
        <w:rPr>
          <w:rFonts w:eastAsia="Times New Roman" w:cs="Times New Roman"/>
          <w:color w:val="1A1A1A"/>
          <w:sz w:val="22"/>
          <w:szCs w:val="22"/>
        </w:rPr>
        <w:t xml:space="preserve"> in detail in Section 4.3.</w:t>
      </w:r>
    </w:p>
    <w:p w14:paraId="1336B6E8" w14:textId="0A195D72" w:rsidR="009A3572" w:rsidRDefault="009A3572" w:rsidP="00515FD6">
      <w:pPr>
        <w:spacing w:after="60"/>
        <w:jc w:val="center"/>
      </w:pPr>
      <w:r>
        <w:rPr>
          <w:noProof/>
        </w:rPr>
        <w:drawing>
          <wp:inline distT="0" distB="0" distL="0" distR="0" wp14:anchorId="35138EF1" wp14:editId="3FA81881">
            <wp:extent cx="6092042" cy="282892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6095416" cy="2830492"/>
                    </a:xfrm>
                    <a:prstGeom prst="rect">
                      <a:avLst/>
                    </a:prstGeom>
                  </pic:spPr>
                </pic:pic>
              </a:graphicData>
            </a:graphic>
          </wp:inline>
        </w:drawing>
      </w:r>
    </w:p>
    <w:p w14:paraId="3B6D6165" w14:textId="68687187" w:rsidR="00515FD6" w:rsidRDefault="00515FD6" w:rsidP="00515FD6">
      <w:pPr>
        <w:pStyle w:val="Caption"/>
      </w:pPr>
      <w:bookmarkStart w:id="73" w:name="_Ref227676832"/>
      <w:bookmarkStart w:id="74" w:name="_Toc227691720"/>
      <w:r>
        <w:t xml:space="preserve">Figure </w:t>
      </w:r>
      <w:r>
        <w:fldChar w:fldCharType="begin"/>
      </w:r>
      <w:r>
        <w:instrText xml:space="preserve"> SEQ Figure \* ARABIC </w:instrText>
      </w:r>
      <w:r>
        <w:fldChar w:fldCharType="separate"/>
      </w:r>
      <w:r w:rsidR="00EB6CD8">
        <w:rPr>
          <w:noProof/>
        </w:rPr>
        <w:t>10</w:t>
      </w:r>
      <w:r>
        <w:fldChar w:fldCharType="end"/>
      </w:r>
      <w:bookmarkEnd w:id="73"/>
      <w:r>
        <w:t xml:space="preserve">. </w:t>
      </w:r>
      <w:r w:rsidRPr="00A07A8A">
        <w:t xml:space="preserve">Building count growth for both Solomon Islands study sites across the three survey epochs. Values </w:t>
      </w:r>
      <w:proofErr w:type="gramStart"/>
      <w:r w:rsidRPr="00A07A8A">
        <w:t>annotated</w:t>
      </w:r>
      <w:proofErr w:type="gramEnd"/>
      <w:r w:rsidRPr="00A07A8A">
        <w:t xml:space="preserve"> at each data point.</w:t>
      </w:r>
      <w:bookmarkEnd w:id="74"/>
    </w:p>
    <w:p w14:paraId="5E8C9586" w14:textId="77777777" w:rsidR="00D1707F" w:rsidRDefault="00D1707F" w:rsidP="00E35E55">
      <w:pPr>
        <w:spacing w:before="240" w:after="0"/>
        <w:rPr>
          <w:rFonts w:ascii="Arial" w:hAnsi="Arial" w:cs="Arial"/>
          <w:i/>
          <w:iCs/>
          <w:sz w:val="22"/>
          <w:szCs w:val="22"/>
        </w:rPr>
      </w:pPr>
      <w:r w:rsidRPr="00FC36BB">
        <w:rPr>
          <w:rFonts w:ascii="Arial" w:hAnsi="Arial" w:cs="Arial"/>
          <w:i/>
          <w:iCs/>
          <w:sz w:val="22"/>
          <w:szCs w:val="22"/>
        </w:rPr>
        <w:lastRenderedPageBreak/>
        <w:t>Absolute Change in Building Count by Period</w:t>
      </w:r>
    </w:p>
    <w:p w14:paraId="7D0F6838" w14:textId="7B90FA96" w:rsidR="00905A4B" w:rsidRDefault="00515FD6" w:rsidP="00E35E55">
      <w:pPr>
        <w:spacing w:after="120"/>
      </w:pPr>
      <w:r>
        <w:rPr>
          <w:rFonts w:eastAsia="Times New Roman" w:cs="Times New Roman"/>
          <w:color w:val="1A1A1A"/>
          <w:sz w:val="22"/>
          <w:szCs w:val="22"/>
        </w:rPr>
        <w:fldChar w:fldCharType="begin"/>
      </w:r>
      <w:r>
        <w:rPr>
          <w:rFonts w:eastAsia="Times New Roman" w:cs="Times New Roman"/>
          <w:color w:val="1A1A1A"/>
          <w:sz w:val="22"/>
          <w:szCs w:val="22"/>
        </w:rPr>
        <w:instrText xml:space="preserve"> REF _Ref227676866 \h </w:instrText>
      </w:r>
      <w:r>
        <w:rPr>
          <w:rFonts w:eastAsia="Times New Roman" w:cs="Times New Roman"/>
          <w:color w:val="1A1A1A"/>
          <w:sz w:val="22"/>
          <w:szCs w:val="22"/>
        </w:rPr>
      </w:r>
      <w:r>
        <w:rPr>
          <w:rFonts w:eastAsia="Times New Roman" w:cs="Times New Roman"/>
          <w:color w:val="1A1A1A"/>
          <w:sz w:val="22"/>
          <w:szCs w:val="22"/>
        </w:rPr>
        <w:fldChar w:fldCharType="separate"/>
      </w:r>
      <w:r>
        <w:t xml:space="preserve">Figure </w:t>
      </w:r>
      <w:r>
        <w:rPr>
          <w:noProof/>
        </w:rPr>
        <w:t>11</w:t>
      </w:r>
      <w:r>
        <w:rPr>
          <w:rFonts w:eastAsia="Times New Roman" w:cs="Times New Roman"/>
          <w:color w:val="1A1A1A"/>
          <w:sz w:val="22"/>
          <w:szCs w:val="22"/>
        </w:rPr>
        <w:fldChar w:fldCharType="end"/>
      </w:r>
      <w:r w:rsidR="00905A4B">
        <w:rPr>
          <w:rFonts w:eastAsia="Times New Roman" w:cs="Times New Roman"/>
          <w:color w:val="1A1A1A"/>
          <w:sz w:val="22"/>
          <w:szCs w:val="22"/>
        </w:rPr>
        <w:t xml:space="preserve"> presents the absolute change in building count between consecutive survey epochs. At White River, the 2006–2015 interval added 223 structures</w:t>
      </w:r>
      <w:r w:rsidR="00E63CF8">
        <w:rPr>
          <w:rFonts w:eastAsia="Times New Roman" w:cs="Times New Roman"/>
          <w:color w:val="1A1A1A"/>
          <w:sz w:val="22"/>
          <w:szCs w:val="22"/>
        </w:rPr>
        <w:t>, which is</w:t>
      </w:r>
      <w:r w:rsidR="00905A4B">
        <w:rPr>
          <w:rFonts w:eastAsia="Times New Roman" w:cs="Times New Roman"/>
          <w:color w:val="1A1A1A"/>
          <w:sz w:val="22"/>
          <w:szCs w:val="22"/>
        </w:rPr>
        <w:t xml:space="preserve"> a larger absolute increment than the 2015–2025 interval, which added 105. At </w:t>
      </w:r>
      <w:proofErr w:type="spellStart"/>
      <w:r w:rsidR="00905A4B">
        <w:rPr>
          <w:rFonts w:eastAsia="Times New Roman" w:cs="Times New Roman"/>
          <w:color w:val="1A1A1A"/>
          <w:sz w:val="22"/>
          <w:szCs w:val="22"/>
        </w:rPr>
        <w:t>Mbumburu</w:t>
      </w:r>
      <w:proofErr w:type="spellEnd"/>
      <w:r w:rsidR="00905A4B">
        <w:rPr>
          <w:rFonts w:eastAsia="Times New Roman" w:cs="Times New Roman"/>
          <w:color w:val="1A1A1A"/>
          <w:sz w:val="22"/>
          <w:szCs w:val="22"/>
        </w:rPr>
        <w:t>, the two periods are more balanced: +104 in 2006–2015 and +88 in 2015–2025. The pattern of relatively higher absolute additions in the earlier period is consistent across both sites and reflects the generally higher growth rates recorded in the 2006–2015 interval (see Section 4.3). The relative deceleration in the most recent decade is discussed in the context of site boundary characteristics and potential settlement maturation in Section 5.</w:t>
      </w:r>
    </w:p>
    <w:p w14:paraId="531E3037" w14:textId="77777777" w:rsidR="00905A4B" w:rsidRDefault="00905A4B" w:rsidP="00E35E55">
      <w:pPr>
        <w:spacing w:after="80"/>
      </w:pPr>
    </w:p>
    <w:p w14:paraId="482CA232" w14:textId="77777777" w:rsidR="00905A4B" w:rsidRDefault="00905A4B" w:rsidP="00E35E55">
      <w:pPr>
        <w:spacing w:after="60"/>
        <w:jc w:val="center"/>
      </w:pPr>
      <w:r>
        <w:rPr>
          <w:noProof/>
        </w:rPr>
        <w:drawing>
          <wp:inline distT="0" distB="0" distL="0" distR="0" wp14:anchorId="7190D444" wp14:editId="62573787">
            <wp:extent cx="6008914" cy="3048000"/>
            <wp:effectExtent l="0" t="0" r="0" b="0"/>
            <wp:docPr id="229038072" name="Picture 22903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6013174" cy="3050161"/>
                    </a:xfrm>
                    <a:prstGeom prst="rect">
                      <a:avLst/>
                    </a:prstGeom>
                  </pic:spPr>
                </pic:pic>
              </a:graphicData>
            </a:graphic>
          </wp:inline>
        </w:drawing>
      </w:r>
    </w:p>
    <w:p w14:paraId="7357276F" w14:textId="4F42D306" w:rsidR="00905A4B" w:rsidRDefault="00515FD6" w:rsidP="00515FD6">
      <w:pPr>
        <w:pStyle w:val="Caption"/>
      </w:pPr>
      <w:bookmarkStart w:id="75" w:name="_Ref227676866"/>
      <w:bookmarkStart w:id="76" w:name="_Toc227691721"/>
      <w:r>
        <w:t xml:space="preserve">Figure </w:t>
      </w:r>
      <w:r>
        <w:fldChar w:fldCharType="begin"/>
      </w:r>
      <w:r>
        <w:instrText xml:space="preserve"> SEQ Figure \* ARABIC </w:instrText>
      </w:r>
      <w:r>
        <w:fldChar w:fldCharType="separate"/>
      </w:r>
      <w:r w:rsidR="00EB6CD8">
        <w:rPr>
          <w:noProof/>
        </w:rPr>
        <w:t>11</w:t>
      </w:r>
      <w:r>
        <w:fldChar w:fldCharType="end"/>
      </w:r>
      <w:bookmarkEnd w:id="75"/>
      <w:r>
        <w:t xml:space="preserve">. </w:t>
      </w:r>
      <w:r w:rsidRPr="00B87862">
        <w:t>Absolute change in building count by survey period for both Solomon Islands study sites. The 2006–2015 period produced the larger addition at both sites.</w:t>
      </w:r>
      <w:bookmarkEnd w:id="76"/>
    </w:p>
    <w:p w14:paraId="441FDD5F" w14:textId="77777777" w:rsidR="00B6092F" w:rsidRDefault="00B6092F" w:rsidP="00E35E55">
      <w:pPr>
        <w:spacing w:before="240" w:after="0"/>
        <w:rPr>
          <w:rFonts w:ascii="Arial" w:hAnsi="Arial" w:cs="Arial"/>
          <w:i/>
          <w:iCs/>
          <w:sz w:val="22"/>
          <w:szCs w:val="22"/>
        </w:rPr>
      </w:pPr>
      <w:r w:rsidRPr="00B6092F">
        <w:rPr>
          <w:rFonts w:ascii="Arial" w:hAnsi="Arial" w:cs="Arial"/>
          <w:i/>
          <w:iCs/>
          <w:sz w:val="22"/>
          <w:szCs w:val="22"/>
        </w:rPr>
        <w:t xml:space="preserve">Compound Annual Growth Rates </w:t>
      </w:r>
    </w:p>
    <w:p w14:paraId="190E316A" w14:textId="49FDD7D7" w:rsidR="00095922" w:rsidRDefault="00095922" w:rsidP="00E35E55">
      <w:pPr>
        <w:spacing w:after="120"/>
        <w:rPr>
          <w:rFonts w:eastAsia="Times New Roman" w:cs="Times New Roman"/>
          <w:color w:val="1A1A1A"/>
          <w:sz w:val="22"/>
          <w:szCs w:val="22"/>
        </w:rPr>
      </w:pPr>
      <w:r>
        <w:rPr>
          <w:rFonts w:eastAsia="Times New Roman" w:cs="Times New Roman"/>
          <w:color w:val="1A1A1A"/>
          <w:sz w:val="22"/>
          <w:szCs w:val="22"/>
        </w:rPr>
        <w:lastRenderedPageBreak/>
        <w:t>Compound annual growth rates (CAGR) were computed for each consecutive survey period at both sites.</w:t>
      </w:r>
      <w:r w:rsidR="005E7268">
        <w:rPr>
          <w:rFonts w:eastAsia="Times New Roman" w:cs="Times New Roman"/>
          <w:color w:val="1A1A1A"/>
          <w:sz w:val="22"/>
          <w:szCs w:val="22"/>
        </w:rPr>
        <w:t xml:space="preserve"> </w:t>
      </w:r>
      <w:r w:rsidR="005E7268">
        <w:rPr>
          <w:rFonts w:eastAsia="Times New Roman" w:cs="Times New Roman"/>
          <w:color w:val="1A1A1A"/>
          <w:sz w:val="22"/>
          <w:szCs w:val="22"/>
        </w:rPr>
        <w:fldChar w:fldCharType="begin"/>
      </w:r>
      <w:r w:rsidR="005E7268">
        <w:rPr>
          <w:rFonts w:eastAsia="Times New Roman" w:cs="Times New Roman"/>
          <w:color w:val="1A1A1A"/>
          <w:sz w:val="22"/>
          <w:szCs w:val="22"/>
        </w:rPr>
        <w:instrText xml:space="preserve"> REF _Ref227676936 \h </w:instrText>
      </w:r>
      <w:r w:rsidR="005E7268">
        <w:rPr>
          <w:rFonts w:eastAsia="Times New Roman" w:cs="Times New Roman"/>
          <w:color w:val="1A1A1A"/>
          <w:sz w:val="22"/>
          <w:szCs w:val="22"/>
        </w:rPr>
      </w:r>
      <w:r w:rsidR="005E7268">
        <w:rPr>
          <w:rFonts w:eastAsia="Times New Roman" w:cs="Times New Roman"/>
          <w:color w:val="1A1A1A"/>
          <w:sz w:val="22"/>
          <w:szCs w:val="22"/>
        </w:rPr>
        <w:fldChar w:fldCharType="separate"/>
      </w:r>
      <w:r w:rsidR="005E7268">
        <w:t xml:space="preserve">Table </w:t>
      </w:r>
      <w:r w:rsidR="005E7268">
        <w:rPr>
          <w:noProof/>
        </w:rPr>
        <w:t>4</w:t>
      </w:r>
      <w:r w:rsidR="005E7268">
        <w:rPr>
          <w:rFonts w:eastAsia="Times New Roman" w:cs="Times New Roman"/>
          <w:color w:val="1A1A1A"/>
          <w:sz w:val="22"/>
          <w:szCs w:val="22"/>
        </w:rPr>
        <w:fldChar w:fldCharType="end"/>
      </w:r>
      <w:r>
        <w:rPr>
          <w:rFonts w:eastAsia="Times New Roman" w:cs="Times New Roman"/>
          <w:color w:val="1A1A1A"/>
          <w:sz w:val="22"/>
          <w:szCs w:val="22"/>
        </w:rPr>
        <w:t xml:space="preserve">  </w:t>
      </w:r>
      <w:r w:rsidR="00515FD6">
        <w:rPr>
          <w:rFonts w:eastAsia="Times New Roman" w:cs="Times New Roman"/>
          <w:color w:val="1A1A1A"/>
          <w:sz w:val="22"/>
          <w:szCs w:val="22"/>
        </w:rPr>
        <w:t>summarizes</w:t>
      </w:r>
      <w:r>
        <w:rPr>
          <w:rFonts w:eastAsia="Times New Roman" w:cs="Times New Roman"/>
          <w:color w:val="1A1A1A"/>
          <w:sz w:val="22"/>
          <w:szCs w:val="22"/>
        </w:rPr>
        <w:t xml:space="preserve"> the results and their relationship to the ADB Melanesian benchmark of 3–4 percent per year.</w:t>
      </w:r>
    </w:p>
    <w:p w14:paraId="27399143" w14:textId="060D66DE" w:rsidR="00515FD6" w:rsidRDefault="00515FD6" w:rsidP="00515FD6">
      <w:pPr>
        <w:pStyle w:val="Caption"/>
      </w:pPr>
      <w:bookmarkStart w:id="77" w:name="_Ref227676936"/>
      <w:bookmarkStart w:id="78" w:name="_Toc228285970"/>
      <w:r>
        <w:t xml:space="preserve">Table </w:t>
      </w:r>
      <w:r>
        <w:fldChar w:fldCharType="begin"/>
      </w:r>
      <w:r>
        <w:instrText xml:space="preserve"> SEQ Table \* ARABIC </w:instrText>
      </w:r>
      <w:r>
        <w:fldChar w:fldCharType="separate"/>
      </w:r>
      <w:r w:rsidR="00C93E55">
        <w:rPr>
          <w:noProof/>
        </w:rPr>
        <w:t>4</w:t>
      </w:r>
      <w:r>
        <w:fldChar w:fldCharType="end"/>
      </w:r>
      <w:bookmarkEnd w:id="77"/>
      <w:r>
        <w:t xml:space="preserve">. </w:t>
      </w:r>
      <w:r w:rsidRPr="00907755">
        <w:t>Compound annual growth rate (CAGR) by period for Solomon Islands study sites. ADB Melanesian benchmark: 3–4%/yr</w:t>
      </w:r>
      <w:bookmarkEnd w:id="78"/>
    </w:p>
    <w:tbl>
      <w:tblPr>
        <w:tblStyle w:val="TableGrid"/>
        <w:tblW w:w="9200" w:type="dxa"/>
        <w:tblLook w:val="04A0" w:firstRow="1" w:lastRow="0" w:firstColumn="1" w:lastColumn="0" w:noHBand="0" w:noVBand="1"/>
      </w:tblPr>
      <w:tblGrid>
        <w:gridCol w:w="1800"/>
        <w:gridCol w:w="1300"/>
        <w:gridCol w:w="1200"/>
        <w:gridCol w:w="1200"/>
        <w:gridCol w:w="800"/>
        <w:gridCol w:w="1300"/>
        <w:gridCol w:w="1600"/>
      </w:tblGrid>
      <w:tr w:rsidR="00095922" w:rsidRPr="00095922" w14:paraId="2B2EB365" w14:textId="77777777" w:rsidTr="00095922">
        <w:tc>
          <w:tcPr>
            <w:tcW w:w="1800" w:type="dxa"/>
          </w:tcPr>
          <w:p w14:paraId="69A7DC56" w14:textId="77777777" w:rsidR="00095922" w:rsidRPr="00095922" w:rsidRDefault="00095922" w:rsidP="00E35E55">
            <w:pPr>
              <w:spacing w:line="480" w:lineRule="auto"/>
              <w:jc w:val="center"/>
            </w:pPr>
            <w:r w:rsidRPr="00095922">
              <w:rPr>
                <w:rFonts w:ascii="Arial" w:eastAsia="Arial" w:hAnsi="Arial" w:cs="Arial"/>
                <w:b/>
                <w:bCs/>
                <w:sz w:val="19"/>
                <w:szCs w:val="19"/>
              </w:rPr>
              <w:t>Site</w:t>
            </w:r>
          </w:p>
        </w:tc>
        <w:tc>
          <w:tcPr>
            <w:tcW w:w="1300" w:type="dxa"/>
          </w:tcPr>
          <w:p w14:paraId="67BCB4C5" w14:textId="77777777" w:rsidR="00095922" w:rsidRPr="00095922" w:rsidRDefault="00095922" w:rsidP="00E35E55">
            <w:pPr>
              <w:spacing w:line="480" w:lineRule="auto"/>
              <w:jc w:val="center"/>
            </w:pPr>
            <w:r w:rsidRPr="00095922">
              <w:rPr>
                <w:rFonts w:ascii="Arial" w:eastAsia="Arial" w:hAnsi="Arial" w:cs="Arial"/>
                <w:b/>
                <w:bCs/>
                <w:sz w:val="19"/>
                <w:szCs w:val="19"/>
              </w:rPr>
              <w:t>Period</w:t>
            </w:r>
          </w:p>
        </w:tc>
        <w:tc>
          <w:tcPr>
            <w:tcW w:w="1200" w:type="dxa"/>
          </w:tcPr>
          <w:p w14:paraId="4D6FC820" w14:textId="77777777" w:rsidR="00095922" w:rsidRPr="00095922" w:rsidRDefault="00095922" w:rsidP="00E35E55">
            <w:pPr>
              <w:spacing w:line="480" w:lineRule="auto"/>
              <w:jc w:val="center"/>
            </w:pPr>
            <w:r w:rsidRPr="00095922">
              <w:rPr>
                <w:rFonts w:ascii="Arial" w:eastAsia="Arial" w:hAnsi="Arial" w:cs="Arial"/>
                <w:b/>
                <w:bCs/>
                <w:sz w:val="19"/>
                <w:szCs w:val="19"/>
              </w:rPr>
              <w:t>Start Count</w:t>
            </w:r>
          </w:p>
        </w:tc>
        <w:tc>
          <w:tcPr>
            <w:tcW w:w="1200" w:type="dxa"/>
          </w:tcPr>
          <w:p w14:paraId="545D564E" w14:textId="77777777" w:rsidR="00095922" w:rsidRPr="00095922" w:rsidRDefault="00095922" w:rsidP="00E35E55">
            <w:pPr>
              <w:spacing w:line="480" w:lineRule="auto"/>
              <w:jc w:val="center"/>
            </w:pPr>
            <w:r w:rsidRPr="00095922">
              <w:rPr>
                <w:rFonts w:ascii="Arial" w:eastAsia="Arial" w:hAnsi="Arial" w:cs="Arial"/>
                <w:b/>
                <w:bCs/>
                <w:sz w:val="19"/>
                <w:szCs w:val="19"/>
              </w:rPr>
              <w:t>End Count</w:t>
            </w:r>
          </w:p>
        </w:tc>
        <w:tc>
          <w:tcPr>
            <w:tcW w:w="800" w:type="dxa"/>
          </w:tcPr>
          <w:p w14:paraId="1BC4D0A5" w14:textId="77777777" w:rsidR="00095922" w:rsidRPr="00095922" w:rsidRDefault="00095922" w:rsidP="00E35E55">
            <w:pPr>
              <w:spacing w:line="480" w:lineRule="auto"/>
              <w:jc w:val="center"/>
            </w:pPr>
            <w:r w:rsidRPr="00095922">
              <w:rPr>
                <w:rFonts w:ascii="Arial" w:eastAsia="Arial" w:hAnsi="Arial" w:cs="Arial"/>
                <w:b/>
                <w:bCs/>
                <w:sz w:val="19"/>
                <w:szCs w:val="19"/>
              </w:rPr>
              <w:t>Years</w:t>
            </w:r>
          </w:p>
        </w:tc>
        <w:tc>
          <w:tcPr>
            <w:tcW w:w="1300" w:type="dxa"/>
          </w:tcPr>
          <w:p w14:paraId="68850967" w14:textId="77777777" w:rsidR="00095922" w:rsidRPr="00095922" w:rsidRDefault="00095922" w:rsidP="00E35E55">
            <w:pPr>
              <w:spacing w:line="480" w:lineRule="auto"/>
              <w:jc w:val="center"/>
            </w:pPr>
            <w:r w:rsidRPr="00095922">
              <w:rPr>
                <w:rFonts w:ascii="Arial" w:eastAsia="Arial" w:hAnsi="Arial" w:cs="Arial"/>
                <w:b/>
                <w:bCs/>
                <w:sz w:val="19"/>
                <w:szCs w:val="19"/>
              </w:rPr>
              <w:t>CAGR (%/yr)</w:t>
            </w:r>
          </w:p>
        </w:tc>
        <w:tc>
          <w:tcPr>
            <w:tcW w:w="1600" w:type="dxa"/>
          </w:tcPr>
          <w:p w14:paraId="52C6AEDA" w14:textId="77777777" w:rsidR="00095922" w:rsidRPr="00095922" w:rsidRDefault="00095922" w:rsidP="00E35E55">
            <w:pPr>
              <w:spacing w:line="480" w:lineRule="auto"/>
              <w:jc w:val="center"/>
            </w:pPr>
            <w:r w:rsidRPr="00095922">
              <w:rPr>
                <w:rFonts w:ascii="Arial" w:eastAsia="Arial" w:hAnsi="Arial" w:cs="Arial"/>
                <w:b/>
                <w:bCs/>
                <w:sz w:val="19"/>
                <w:szCs w:val="19"/>
              </w:rPr>
              <w:t>vs. ADB Benchmark</w:t>
            </w:r>
          </w:p>
        </w:tc>
      </w:tr>
      <w:tr w:rsidR="00095922" w:rsidRPr="00095922" w14:paraId="6FA7BDE8" w14:textId="77777777" w:rsidTr="00095922">
        <w:tc>
          <w:tcPr>
            <w:tcW w:w="1800" w:type="dxa"/>
          </w:tcPr>
          <w:p w14:paraId="39A4E722" w14:textId="77777777" w:rsidR="00095922" w:rsidRPr="00095922" w:rsidRDefault="00095922" w:rsidP="00E35E55">
            <w:pPr>
              <w:spacing w:line="480" w:lineRule="auto"/>
            </w:pPr>
            <w:r w:rsidRPr="00095922">
              <w:rPr>
                <w:rFonts w:eastAsia="Times New Roman" w:cs="Times New Roman"/>
                <w:sz w:val="19"/>
                <w:szCs w:val="19"/>
              </w:rPr>
              <w:t>White River</w:t>
            </w:r>
          </w:p>
        </w:tc>
        <w:tc>
          <w:tcPr>
            <w:tcW w:w="1300" w:type="dxa"/>
          </w:tcPr>
          <w:p w14:paraId="0643DB19" w14:textId="77777777" w:rsidR="00095922" w:rsidRPr="00095922" w:rsidRDefault="00095922" w:rsidP="00E35E55">
            <w:pPr>
              <w:spacing w:line="480" w:lineRule="auto"/>
            </w:pPr>
            <w:r w:rsidRPr="00095922">
              <w:rPr>
                <w:rFonts w:eastAsia="Times New Roman" w:cs="Times New Roman"/>
                <w:sz w:val="19"/>
                <w:szCs w:val="19"/>
              </w:rPr>
              <w:t>2006–2015</w:t>
            </w:r>
          </w:p>
        </w:tc>
        <w:tc>
          <w:tcPr>
            <w:tcW w:w="1200" w:type="dxa"/>
          </w:tcPr>
          <w:p w14:paraId="7438F617" w14:textId="77777777" w:rsidR="00095922" w:rsidRPr="00095922" w:rsidRDefault="00095922" w:rsidP="00E35E55">
            <w:pPr>
              <w:spacing w:line="480" w:lineRule="auto"/>
            </w:pPr>
            <w:r w:rsidRPr="00095922">
              <w:rPr>
                <w:rFonts w:eastAsia="Times New Roman" w:cs="Times New Roman"/>
                <w:sz w:val="19"/>
                <w:szCs w:val="19"/>
              </w:rPr>
              <w:t>280</w:t>
            </w:r>
          </w:p>
        </w:tc>
        <w:tc>
          <w:tcPr>
            <w:tcW w:w="1200" w:type="dxa"/>
          </w:tcPr>
          <w:p w14:paraId="4845D068" w14:textId="77777777" w:rsidR="00095922" w:rsidRPr="00095922" w:rsidRDefault="00095922" w:rsidP="00E35E55">
            <w:pPr>
              <w:spacing w:line="480" w:lineRule="auto"/>
            </w:pPr>
            <w:r w:rsidRPr="00095922">
              <w:rPr>
                <w:rFonts w:eastAsia="Times New Roman" w:cs="Times New Roman"/>
                <w:sz w:val="19"/>
                <w:szCs w:val="19"/>
              </w:rPr>
              <w:t>503</w:t>
            </w:r>
          </w:p>
        </w:tc>
        <w:tc>
          <w:tcPr>
            <w:tcW w:w="800" w:type="dxa"/>
          </w:tcPr>
          <w:p w14:paraId="39590FF5" w14:textId="77777777" w:rsidR="00095922" w:rsidRPr="00095922" w:rsidRDefault="00095922" w:rsidP="00E35E55">
            <w:pPr>
              <w:spacing w:line="480" w:lineRule="auto"/>
            </w:pPr>
            <w:r w:rsidRPr="00095922">
              <w:rPr>
                <w:rFonts w:eastAsia="Times New Roman" w:cs="Times New Roman"/>
                <w:sz w:val="19"/>
                <w:szCs w:val="19"/>
              </w:rPr>
              <w:t>9</w:t>
            </w:r>
          </w:p>
        </w:tc>
        <w:tc>
          <w:tcPr>
            <w:tcW w:w="1300" w:type="dxa"/>
          </w:tcPr>
          <w:p w14:paraId="28C5EC3E" w14:textId="77777777" w:rsidR="00095922" w:rsidRPr="00095922" w:rsidRDefault="00095922" w:rsidP="00E35E55">
            <w:pPr>
              <w:spacing w:line="480" w:lineRule="auto"/>
            </w:pPr>
            <w:r w:rsidRPr="00095922">
              <w:rPr>
                <w:rFonts w:eastAsia="Times New Roman" w:cs="Times New Roman"/>
                <w:sz w:val="19"/>
                <w:szCs w:val="19"/>
              </w:rPr>
              <w:t>6.73%</w:t>
            </w:r>
          </w:p>
        </w:tc>
        <w:tc>
          <w:tcPr>
            <w:tcW w:w="1600" w:type="dxa"/>
          </w:tcPr>
          <w:p w14:paraId="4C04CFE1" w14:textId="77777777" w:rsidR="00095922" w:rsidRPr="00095922" w:rsidRDefault="00095922" w:rsidP="00E35E55">
            <w:pPr>
              <w:spacing w:line="480" w:lineRule="auto"/>
            </w:pPr>
            <w:proofErr w:type="gramStart"/>
            <w:r w:rsidRPr="00095922">
              <w:rPr>
                <w:rFonts w:eastAsia="Times New Roman" w:cs="Times New Roman"/>
                <w:sz w:val="19"/>
                <w:szCs w:val="19"/>
              </w:rPr>
              <w:t>Exceeds</w:t>
            </w:r>
            <w:proofErr w:type="gramEnd"/>
            <w:r w:rsidRPr="00095922">
              <w:rPr>
                <w:rFonts w:eastAsia="Times New Roman" w:cs="Times New Roman"/>
                <w:sz w:val="19"/>
                <w:szCs w:val="19"/>
              </w:rPr>
              <w:t xml:space="preserve"> (&gt;4%/yr)</w:t>
            </w:r>
          </w:p>
        </w:tc>
      </w:tr>
      <w:tr w:rsidR="00095922" w:rsidRPr="00095922" w14:paraId="7AAA0184" w14:textId="77777777" w:rsidTr="00095922">
        <w:tc>
          <w:tcPr>
            <w:tcW w:w="1800" w:type="dxa"/>
          </w:tcPr>
          <w:p w14:paraId="112D5EF3" w14:textId="77777777" w:rsidR="00095922" w:rsidRPr="00095922" w:rsidRDefault="00095922" w:rsidP="00E35E55">
            <w:pPr>
              <w:spacing w:line="480" w:lineRule="auto"/>
            </w:pPr>
            <w:r w:rsidRPr="00095922">
              <w:rPr>
                <w:rFonts w:eastAsia="Times New Roman" w:cs="Times New Roman"/>
                <w:sz w:val="19"/>
                <w:szCs w:val="19"/>
              </w:rPr>
              <w:t>White River</w:t>
            </w:r>
          </w:p>
        </w:tc>
        <w:tc>
          <w:tcPr>
            <w:tcW w:w="1300" w:type="dxa"/>
          </w:tcPr>
          <w:p w14:paraId="14A058E3" w14:textId="77777777" w:rsidR="00095922" w:rsidRPr="00095922" w:rsidRDefault="00095922" w:rsidP="00E35E55">
            <w:pPr>
              <w:spacing w:line="480" w:lineRule="auto"/>
            </w:pPr>
            <w:r w:rsidRPr="00095922">
              <w:rPr>
                <w:rFonts w:eastAsia="Times New Roman" w:cs="Times New Roman"/>
                <w:sz w:val="19"/>
                <w:szCs w:val="19"/>
              </w:rPr>
              <w:t>2015–2025</w:t>
            </w:r>
          </w:p>
        </w:tc>
        <w:tc>
          <w:tcPr>
            <w:tcW w:w="1200" w:type="dxa"/>
          </w:tcPr>
          <w:p w14:paraId="667EB050" w14:textId="77777777" w:rsidR="00095922" w:rsidRPr="00095922" w:rsidRDefault="00095922" w:rsidP="00E35E55">
            <w:pPr>
              <w:spacing w:line="480" w:lineRule="auto"/>
            </w:pPr>
            <w:r w:rsidRPr="00095922">
              <w:rPr>
                <w:rFonts w:eastAsia="Times New Roman" w:cs="Times New Roman"/>
                <w:sz w:val="19"/>
                <w:szCs w:val="19"/>
              </w:rPr>
              <w:t>503</w:t>
            </w:r>
          </w:p>
        </w:tc>
        <w:tc>
          <w:tcPr>
            <w:tcW w:w="1200" w:type="dxa"/>
          </w:tcPr>
          <w:p w14:paraId="253EE194" w14:textId="77777777" w:rsidR="00095922" w:rsidRPr="00095922" w:rsidRDefault="00095922" w:rsidP="00E35E55">
            <w:pPr>
              <w:spacing w:line="480" w:lineRule="auto"/>
            </w:pPr>
            <w:r w:rsidRPr="00095922">
              <w:rPr>
                <w:rFonts w:eastAsia="Times New Roman" w:cs="Times New Roman"/>
                <w:sz w:val="19"/>
                <w:szCs w:val="19"/>
              </w:rPr>
              <w:t>608</w:t>
            </w:r>
          </w:p>
        </w:tc>
        <w:tc>
          <w:tcPr>
            <w:tcW w:w="800" w:type="dxa"/>
          </w:tcPr>
          <w:p w14:paraId="7860AF8C" w14:textId="77777777" w:rsidR="00095922" w:rsidRPr="00095922" w:rsidRDefault="00095922" w:rsidP="00E35E55">
            <w:pPr>
              <w:spacing w:line="480" w:lineRule="auto"/>
            </w:pPr>
            <w:r w:rsidRPr="00095922">
              <w:rPr>
                <w:rFonts w:eastAsia="Times New Roman" w:cs="Times New Roman"/>
                <w:sz w:val="19"/>
                <w:szCs w:val="19"/>
              </w:rPr>
              <w:t>10</w:t>
            </w:r>
          </w:p>
        </w:tc>
        <w:tc>
          <w:tcPr>
            <w:tcW w:w="1300" w:type="dxa"/>
          </w:tcPr>
          <w:p w14:paraId="303B8453" w14:textId="77777777" w:rsidR="00095922" w:rsidRPr="00095922" w:rsidRDefault="00095922" w:rsidP="00E35E55">
            <w:pPr>
              <w:spacing w:line="480" w:lineRule="auto"/>
            </w:pPr>
            <w:r w:rsidRPr="00095922">
              <w:rPr>
                <w:rFonts w:eastAsia="Times New Roman" w:cs="Times New Roman"/>
                <w:sz w:val="19"/>
                <w:szCs w:val="19"/>
              </w:rPr>
              <w:t>1.91%</w:t>
            </w:r>
          </w:p>
        </w:tc>
        <w:tc>
          <w:tcPr>
            <w:tcW w:w="1600" w:type="dxa"/>
          </w:tcPr>
          <w:p w14:paraId="76501E5E" w14:textId="77777777" w:rsidR="00095922" w:rsidRPr="00095922" w:rsidRDefault="00095922" w:rsidP="00E35E55">
            <w:pPr>
              <w:spacing w:line="480" w:lineRule="auto"/>
            </w:pPr>
            <w:r w:rsidRPr="00095922">
              <w:rPr>
                <w:rFonts w:eastAsia="Times New Roman" w:cs="Times New Roman"/>
                <w:sz w:val="19"/>
                <w:szCs w:val="19"/>
              </w:rPr>
              <w:t>Below (&lt;3%/yr)</w:t>
            </w:r>
          </w:p>
        </w:tc>
      </w:tr>
      <w:tr w:rsidR="00095922" w:rsidRPr="00095922" w14:paraId="2D47193B" w14:textId="77777777" w:rsidTr="00095922">
        <w:tc>
          <w:tcPr>
            <w:tcW w:w="1800" w:type="dxa"/>
          </w:tcPr>
          <w:p w14:paraId="67093171" w14:textId="77777777" w:rsidR="00095922" w:rsidRPr="00095922" w:rsidRDefault="00095922" w:rsidP="00E35E55">
            <w:pPr>
              <w:spacing w:line="480" w:lineRule="auto"/>
            </w:pPr>
            <w:proofErr w:type="spellStart"/>
            <w:r w:rsidRPr="00095922">
              <w:rPr>
                <w:rFonts w:eastAsia="Times New Roman" w:cs="Times New Roman"/>
                <w:sz w:val="19"/>
                <w:szCs w:val="19"/>
              </w:rPr>
              <w:t>Mbumburu</w:t>
            </w:r>
            <w:proofErr w:type="spellEnd"/>
          </w:p>
        </w:tc>
        <w:tc>
          <w:tcPr>
            <w:tcW w:w="1300" w:type="dxa"/>
          </w:tcPr>
          <w:p w14:paraId="66BAAC11" w14:textId="77777777" w:rsidR="00095922" w:rsidRPr="00095922" w:rsidRDefault="00095922" w:rsidP="00E35E55">
            <w:pPr>
              <w:spacing w:line="480" w:lineRule="auto"/>
            </w:pPr>
            <w:r w:rsidRPr="00095922">
              <w:rPr>
                <w:rFonts w:eastAsia="Times New Roman" w:cs="Times New Roman"/>
                <w:sz w:val="19"/>
                <w:szCs w:val="19"/>
              </w:rPr>
              <w:t>2006–2015</w:t>
            </w:r>
          </w:p>
        </w:tc>
        <w:tc>
          <w:tcPr>
            <w:tcW w:w="1200" w:type="dxa"/>
          </w:tcPr>
          <w:p w14:paraId="2267F739" w14:textId="77777777" w:rsidR="00095922" w:rsidRPr="00095922" w:rsidRDefault="00095922" w:rsidP="00E35E55">
            <w:pPr>
              <w:spacing w:line="480" w:lineRule="auto"/>
            </w:pPr>
            <w:r w:rsidRPr="00095922">
              <w:rPr>
                <w:rFonts w:eastAsia="Times New Roman" w:cs="Times New Roman"/>
                <w:sz w:val="19"/>
                <w:szCs w:val="19"/>
              </w:rPr>
              <w:t>156</w:t>
            </w:r>
          </w:p>
        </w:tc>
        <w:tc>
          <w:tcPr>
            <w:tcW w:w="1200" w:type="dxa"/>
          </w:tcPr>
          <w:p w14:paraId="09840088" w14:textId="77777777" w:rsidR="00095922" w:rsidRPr="00095922" w:rsidRDefault="00095922" w:rsidP="00E35E55">
            <w:pPr>
              <w:spacing w:line="480" w:lineRule="auto"/>
            </w:pPr>
            <w:r w:rsidRPr="00095922">
              <w:rPr>
                <w:rFonts w:eastAsia="Times New Roman" w:cs="Times New Roman"/>
                <w:sz w:val="19"/>
                <w:szCs w:val="19"/>
              </w:rPr>
              <w:t>260</w:t>
            </w:r>
          </w:p>
        </w:tc>
        <w:tc>
          <w:tcPr>
            <w:tcW w:w="800" w:type="dxa"/>
          </w:tcPr>
          <w:p w14:paraId="28150513" w14:textId="77777777" w:rsidR="00095922" w:rsidRPr="00095922" w:rsidRDefault="00095922" w:rsidP="00E35E55">
            <w:pPr>
              <w:spacing w:line="480" w:lineRule="auto"/>
            </w:pPr>
            <w:r w:rsidRPr="00095922">
              <w:rPr>
                <w:rFonts w:eastAsia="Times New Roman" w:cs="Times New Roman"/>
                <w:sz w:val="19"/>
                <w:szCs w:val="19"/>
              </w:rPr>
              <w:t>9</w:t>
            </w:r>
          </w:p>
        </w:tc>
        <w:tc>
          <w:tcPr>
            <w:tcW w:w="1300" w:type="dxa"/>
          </w:tcPr>
          <w:p w14:paraId="49706F10" w14:textId="77777777" w:rsidR="00095922" w:rsidRPr="00095922" w:rsidRDefault="00095922" w:rsidP="00E35E55">
            <w:pPr>
              <w:spacing w:line="480" w:lineRule="auto"/>
            </w:pPr>
            <w:r w:rsidRPr="00095922">
              <w:rPr>
                <w:rFonts w:eastAsia="Times New Roman" w:cs="Times New Roman"/>
                <w:sz w:val="19"/>
                <w:szCs w:val="19"/>
              </w:rPr>
              <w:t>5.84%</w:t>
            </w:r>
          </w:p>
        </w:tc>
        <w:tc>
          <w:tcPr>
            <w:tcW w:w="1600" w:type="dxa"/>
          </w:tcPr>
          <w:p w14:paraId="79618563" w14:textId="77777777" w:rsidR="00095922" w:rsidRPr="00095922" w:rsidRDefault="00095922" w:rsidP="00E35E55">
            <w:pPr>
              <w:spacing w:line="480" w:lineRule="auto"/>
            </w:pPr>
            <w:proofErr w:type="gramStart"/>
            <w:r w:rsidRPr="00095922">
              <w:rPr>
                <w:rFonts w:eastAsia="Times New Roman" w:cs="Times New Roman"/>
                <w:sz w:val="19"/>
                <w:szCs w:val="19"/>
              </w:rPr>
              <w:t>Exceeds</w:t>
            </w:r>
            <w:proofErr w:type="gramEnd"/>
            <w:r w:rsidRPr="00095922">
              <w:rPr>
                <w:rFonts w:eastAsia="Times New Roman" w:cs="Times New Roman"/>
                <w:sz w:val="19"/>
                <w:szCs w:val="19"/>
              </w:rPr>
              <w:t xml:space="preserve"> (&gt;4%/yr)</w:t>
            </w:r>
          </w:p>
        </w:tc>
      </w:tr>
      <w:tr w:rsidR="00095922" w:rsidRPr="00095922" w14:paraId="49A3AEC1" w14:textId="77777777" w:rsidTr="00095922">
        <w:tc>
          <w:tcPr>
            <w:tcW w:w="1800" w:type="dxa"/>
          </w:tcPr>
          <w:p w14:paraId="1B9FC66D" w14:textId="77777777" w:rsidR="00095922" w:rsidRPr="00095922" w:rsidRDefault="00095922" w:rsidP="00E35E55">
            <w:pPr>
              <w:spacing w:line="480" w:lineRule="auto"/>
            </w:pPr>
            <w:proofErr w:type="spellStart"/>
            <w:r w:rsidRPr="00095922">
              <w:rPr>
                <w:rFonts w:eastAsia="Times New Roman" w:cs="Times New Roman"/>
                <w:sz w:val="19"/>
                <w:szCs w:val="19"/>
              </w:rPr>
              <w:t>Mbumburu</w:t>
            </w:r>
            <w:proofErr w:type="spellEnd"/>
          </w:p>
        </w:tc>
        <w:tc>
          <w:tcPr>
            <w:tcW w:w="1300" w:type="dxa"/>
          </w:tcPr>
          <w:p w14:paraId="5B8BFCD7" w14:textId="77777777" w:rsidR="00095922" w:rsidRPr="00095922" w:rsidRDefault="00095922" w:rsidP="00E35E55">
            <w:pPr>
              <w:spacing w:line="480" w:lineRule="auto"/>
            </w:pPr>
            <w:r w:rsidRPr="00095922">
              <w:rPr>
                <w:rFonts w:eastAsia="Times New Roman" w:cs="Times New Roman"/>
                <w:sz w:val="19"/>
                <w:szCs w:val="19"/>
              </w:rPr>
              <w:t>2015–2025</w:t>
            </w:r>
          </w:p>
        </w:tc>
        <w:tc>
          <w:tcPr>
            <w:tcW w:w="1200" w:type="dxa"/>
          </w:tcPr>
          <w:p w14:paraId="246FBB9E" w14:textId="77777777" w:rsidR="00095922" w:rsidRPr="00095922" w:rsidRDefault="00095922" w:rsidP="00E35E55">
            <w:pPr>
              <w:spacing w:line="480" w:lineRule="auto"/>
            </w:pPr>
            <w:r w:rsidRPr="00095922">
              <w:rPr>
                <w:rFonts w:eastAsia="Times New Roman" w:cs="Times New Roman"/>
                <w:sz w:val="19"/>
                <w:szCs w:val="19"/>
              </w:rPr>
              <w:t>260</w:t>
            </w:r>
          </w:p>
        </w:tc>
        <w:tc>
          <w:tcPr>
            <w:tcW w:w="1200" w:type="dxa"/>
          </w:tcPr>
          <w:p w14:paraId="6D7D6B5F" w14:textId="77777777" w:rsidR="00095922" w:rsidRPr="00095922" w:rsidRDefault="00095922" w:rsidP="00E35E55">
            <w:pPr>
              <w:spacing w:line="480" w:lineRule="auto"/>
            </w:pPr>
            <w:r w:rsidRPr="00095922">
              <w:rPr>
                <w:rFonts w:eastAsia="Times New Roman" w:cs="Times New Roman"/>
                <w:sz w:val="19"/>
                <w:szCs w:val="19"/>
              </w:rPr>
              <w:t>348</w:t>
            </w:r>
          </w:p>
        </w:tc>
        <w:tc>
          <w:tcPr>
            <w:tcW w:w="800" w:type="dxa"/>
          </w:tcPr>
          <w:p w14:paraId="7F8D0695" w14:textId="77777777" w:rsidR="00095922" w:rsidRPr="00095922" w:rsidRDefault="00095922" w:rsidP="00E35E55">
            <w:pPr>
              <w:spacing w:line="480" w:lineRule="auto"/>
            </w:pPr>
            <w:r w:rsidRPr="00095922">
              <w:rPr>
                <w:rFonts w:eastAsia="Times New Roman" w:cs="Times New Roman"/>
                <w:sz w:val="19"/>
                <w:szCs w:val="19"/>
              </w:rPr>
              <w:t>10</w:t>
            </w:r>
          </w:p>
        </w:tc>
        <w:tc>
          <w:tcPr>
            <w:tcW w:w="1300" w:type="dxa"/>
          </w:tcPr>
          <w:p w14:paraId="604271B2" w14:textId="77777777" w:rsidR="00095922" w:rsidRPr="00095922" w:rsidRDefault="00095922" w:rsidP="00E35E55">
            <w:pPr>
              <w:spacing w:line="480" w:lineRule="auto"/>
            </w:pPr>
            <w:r w:rsidRPr="00095922">
              <w:rPr>
                <w:rFonts w:eastAsia="Times New Roman" w:cs="Times New Roman"/>
                <w:sz w:val="19"/>
                <w:szCs w:val="19"/>
              </w:rPr>
              <w:t>2.96%</w:t>
            </w:r>
          </w:p>
        </w:tc>
        <w:tc>
          <w:tcPr>
            <w:tcW w:w="1600" w:type="dxa"/>
          </w:tcPr>
          <w:p w14:paraId="7010A555" w14:textId="77777777" w:rsidR="00095922" w:rsidRPr="00095922" w:rsidRDefault="00095922" w:rsidP="00E35E55">
            <w:pPr>
              <w:spacing w:line="480" w:lineRule="auto"/>
            </w:pPr>
            <w:r w:rsidRPr="00095922">
              <w:rPr>
                <w:rFonts w:eastAsia="Times New Roman" w:cs="Times New Roman"/>
                <w:sz w:val="19"/>
                <w:szCs w:val="19"/>
              </w:rPr>
              <w:t>Below (&lt;3%/yr)</w:t>
            </w:r>
          </w:p>
        </w:tc>
      </w:tr>
    </w:tbl>
    <w:p w14:paraId="27740C23" w14:textId="193B8473" w:rsidR="00095922" w:rsidRDefault="00095922" w:rsidP="00E35E55">
      <w:pPr>
        <w:spacing w:before="80" w:after="80"/>
      </w:pPr>
    </w:p>
    <w:p w14:paraId="76E5183E" w14:textId="126A253F" w:rsidR="00095922" w:rsidRDefault="00095922" w:rsidP="00E35E55">
      <w:pPr>
        <w:spacing w:after="120"/>
        <w:ind w:firstLine="720"/>
      </w:pPr>
      <w:r>
        <w:rPr>
          <w:rFonts w:eastAsia="Times New Roman" w:cs="Times New Roman"/>
          <w:color w:val="1A1A1A"/>
          <w:sz w:val="22"/>
          <w:szCs w:val="22"/>
        </w:rPr>
        <w:t xml:space="preserve">The 2006–2015 period shows growth rates substantially above the ADB benchmark at both sites: 6.73% per year at White River and 5.84% per year at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These rates are broadly consistent with the rapid informal settlement expansion documented for the wider Honiara area during this period. Keen and Kiddle (2016) </w:t>
      </w:r>
      <w:r w:rsidR="005E7268">
        <w:rPr>
          <w:rFonts w:eastAsia="Times New Roman" w:cs="Times New Roman"/>
          <w:color w:val="1A1A1A"/>
          <w:sz w:val="22"/>
          <w:szCs w:val="22"/>
        </w:rPr>
        <w:t>characterized</w:t>
      </w:r>
      <w:r>
        <w:rPr>
          <w:rFonts w:eastAsia="Times New Roman" w:cs="Times New Roman"/>
          <w:color w:val="1A1A1A"/>
          <w:sz w:val="22"/>
          <w:szCs w:val="22"/>
        </w:rPr>
        <w:t xml:space="preserve"> Honiara’s peri-urban informal settlements as among the most rapidly expanding in the Pacific, placing the figures observed at White River and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within the expected range for western Honiara communities during a period of sustained in-migration.</w:t>
      </w:r>
    </w:p>
    <w:p w14:paraId="509D47B1" w14:textId="77777777" w:rsidR="00095922" w:rsidRDefault="00095922" w:rsidP="00E35E55">
      <w:pPr>
        <w:spacing w:after="120"/>
        <w:ind w:firstLine="720"/>
      </w:pPr>
      <w:r>
        <w:rPr>
          <w:rFonts w:eastAsia="Times New Roman" w:cs="Times New Roman"/>
          <w:color w:val="1A1A1A"/>
          <w:sz w:val="22"/>
          <w:szCs w:val="22"/>
        </w:rPr>
        <w:t xml:space="preserve">The 2015–2025 period shows a marked deceleration at both sites, with CAGRs falling below the 3 percent benchmark lower bound: 1.91% per year at White River and 2.96% per year at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This deceleration warrants careful interpretation. Three factors are relevant. First, both sites are relatively small (40–48 ha) and had already reached moderate building densities by 2015, leaving limited space for continued infill development at the rates observed in the earlier period. Second, the QuickBird-2 imagery used for the 2006 epoch operates at 0.61 m resolution, which falls marginally outside the model’s optimal range and may have produced systematically lower counts than the WorldView-3 imagery used in 2015 </w:t>
      </w:r>
      <w:r>
        <w:rPr>
          <w:rFonts w:eastAsia="Times New Roman" w:cs="Times New Roman"/>
          <w:color w:val="1A1A1A"/>
          <w:sz w:val="22"/>
          <w:szCs w:val="22"/>
        </w:rPr>
        <w:lastRenderedPageBreak/>
        <w:t>and 2025; this would inflate the apparent 2006–2015 growth rate while understating the true baseline stock, and conversely reduce the apparent 2015–2025 rate. Third, genuine slowing of growth is plausible as both sites approach the physical limits of available land within their delineated boundaries.</w:t>
      </w:r>
    </w:p>
    <w:p w14:paraId="72230495" w14:textId="68F315EE" w:rsidR="00095922" w:rsidRDefault="00095922" w:rsidP="00E35E55">
      <w:pPr>
        <w:spacing w:after="120"/>
        <w:ind w:firstLine="720"/>
        <w:jc w:val="both"/>
      </w:pPr>
      <w:r>
        <w:rPr>
          <w:rFonts w:eastAsia="Times New Roman" w:cs="Times New Roman"/>
          <w:color w:val="1A1A1A"/>
          <w:sz w:val="22"/>
          <w:szCs w:val="22"/>
        </w:rPr>
        <w:t>These figures should be treated as indicative estimates. The CAGR is sensitive to both the accuracy of the starting count and the length of the interval. All figures are submitted as proof-of-concept estimates for the ADB project.</w:t>
      </w:r>
    </w:p>
    <w:p w14:paraId="4473CB8E" w14:textId="77777777" w:rsidR="00095922" w:rsidRDefault="00095922" w:rsidP="00E35E55">
      <w:pPr>
        <w:spacing w:after="80"/>
      </w:pPr>
    </w:p>
    <w:p w14:paraId="35E821A7" w14:textId="1B975B4B" w:rsidR="00095922" w:rsidRDefault="00095922" w:rsidP="00476EEE">
      <w:pPr>
        <w:spacing w:after="60"/>
        <w:jc w:val="center"/>
      </w:pPr>
      <w:r>
        <w:rPr>
          <w:noProof/>
        </w:rPr>
        <w:drawing>
          <wp:inline distT="0" distB="0" distL="0" distR="0" wp14:anchorId="255FD9C3" wp14:editId="0586DCC7">
            <wp:extent cx="6175169" cy="2847975"/>
            <wp:effectExtent l="0" t="0" r="0" b="0"/>
            <wp:docPr id="717303243" name="Picture 71730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6177804" cy="2849190"/>
                    </a:xfrm>
                    <a:prstGeom prst="rect">
                      <a:avLst/>
                    </a:prstGeom>
                  </pic:spPr>
                </pic:pic>
              </a:graphicData>
            </a:graphic>
          </wp:inline>
        </w:drawing>
      </w:r>
    </w:p>
    <w:p w14:paraId="4E1E46C4" w14:textId="632FABA3" w:rsidR="00476EEE" w:rsidRDefault="00476EEE" w:rsidP="00476EEE">
      <w:pPr>
        <w:pStyle w:val="Caption"/>
      </w:pPr>
      <w:bookmarkStart w:id="79" w:name="_Toc227691722"/>
      <w:r>
        <w:t xml:space="preserve">Figure </w:t>
      </w:r>
      <w:r>
        <w:fldChar w:fldCharType="begin"/>
      </w:r>
      <w:r>
        <w:instrText xml:space="preserve"> SEQ Figure \* ARABIC </w:instrText>
      </w:r>
      <w:r>
        <w:fldChar w:fldCharType="separate"/>
      </w:r>
      <w:r w:rsidR="00EB6CD8">
        <w:rPr>
          <w:noProof/>
        </w:rPr>
        <w:t>12</w:t>
      </w:r>
      <w:r>
        <w:fldChar w:fldCharType="end"/>
      </w:r>
      <w:r>
        <w:t xml:space="preserve">. </w:t>
      </w:r>
      <w:r w:rsidRPr="000B3483">
        <w:t>Compound annual growth rates for both Solomon Islands study sites by survey period. Blue shaded band = ADB Melanesian benchmark (3–4%/yr). Red = exceeds; amber = below benchmark.</w:t>
      </w:r>
      <w:bookmarkEnd w:id="79"/>
    </w:p>
    <w:p w14:paraId="1E577E54" w14:textId="77777777" w:rsidR="00431F99" w:rsidRDefault="00431F99" w:rsidP="00E35E55">
      <w:pPr>
        <w:spacing w:before="240" w:after="0"/>
        <w:rPr>
          <w:rFonts w:ascii="Arial" w:hAnsi="Arial" w:cs="Arial"/>
          <w:i/>
          <w:iCs/>
          <w:sz w:val="22"/>
          <w:szCs w:val="22"/>
        </w:rPr>
      </w:pPr>
      <w:r w:rsidRPr="00B605F0">
        <w:rPr>
          <w:rFonts w:ascii="Arial" w:hAnsi="Arial" w:cs="Arial"/>
          <w:i/>
          <w:iCs/>
          <w:sz w:val="22"/>
          <w:szCs w:val="22"/>
        </w:rPr>
        <w:t>Settlement Density</w:t>
      </w:r>
    </w:p>
    <w:p w14:paraId="636BCE5C" w14:textId="6EF4D974" w:rsidR="00642AEF" w:rsidRDefault="00642AEF" w:rsidP="00E35E55">
      <w:pPr>
        <w:spacing w:after="120"/>
      </w:pPr>
      <w:r>
        <w:rPr>
          <w:rFonts w:eastAsia="Times New Roman" w:cs="Times New Roman"/>
          <w:color w:val="1A1A1A"/>
          <w:sz w:val="22"/>
          <w:szCs w:val="22"/>
        </w:rPr>
        <w:t>Settlement density</w:t>
      </w:r>
      <w:r w:rsidR="007E02C3">
        <w:rPr>
          <w:rFonts w:eastAsia="Times New Roman" w:cs="Times New Roman"/>
          <w:color w:val="1A1A1A"/>
          <w:sz w:val="22"/>
          <w:szCs w:val="22"/>
        </w:rPr>
        <w:t>,</w:t>
      </w:r>
      <w:r>
        <w:rPr>
          <w:rFonts w:eastAsia="Times New Roman" w:cs="Times New Roman"/>
          <w:color w:val="1A1A1A"/>
          <w:sz w:val="22"/>
          <w:szCs w:val="22"/>
        </w:rPr>
        <w:t xml:space="preserve"> </w:t>
      </w:r>
      <w:r w:rsidR="007E02C3">
        <w:rPr>
          <w:color w:val="1A1A1A"/>
        </w:rPr>
        <w:t>defined as the number of structures per hectare,</w:t>
      </w:r>
      <w:r w:rsidR="007E02C3">
        <w:rPr>
          <w:rFonts w:eastAsia="Times New Roman" w:cs="Times New Roman"/>
          <w:color w:val="1A1A1A"/>
          <w:sz w:val="22"/>
          <w:szCs w:val="22"/>
        </w:rPr>
        <w:t xml:space="preserve"> </w:t>
      </w:r>
      <w:r>
        <w:rPr>
          <w:rFonts w:eastAsia="Times New Roman" w:cs="Times New Roman"/>
          <w:color w:val="1A1A1A"/>
          <w:sz w:val="22"/>
          <w:szCs w:val="22"/>
        </w:rPr>
        <w:t xml:space="preserve">is the primary indicator of urban intensity and a key planning parameter for infrastructure provision. </w:t>
      </w:r>
      <w:r w:rsidR="00476EEE">
        <w:rPr>
          <w:rFonts w:eastAsia="Times New Roman" w:cs="Times New Roman"/>
          <w:color w:val="1A1A1A"/>
          <w:sz w:val="22"/>
          <w:szCs w:val="22"/>
        </w:rPr>
        <w:fldChar w:fldCharType="begin"/>
      </w:r>
      <w:r w:rsidR="00476EEE">
        <w:rPr>
          <w:rFonts w:eastAsia="Times New Roman" w:cs="Times New Roman"/>
          <w:color w:val="1A1A1A"/>
          <w:sz w:val="22"/>
          <w:szCs w:val="22"/>
        </w:rPr>
        <w:instrText xml:space="preserve"> REF _Ref227677000 \h </w:instrText>
      </w:r>
      <w:r w:rsidR="00476EEE">
        <w:rPr>
          <w:rFonts w:eastAsia="Times New Roman" w:cs="Times New Roman"/>
          <w:color w:val="1A1A1A"/>
          <w:sz w:val="22"/>
          <w:szCs w:val="22"/>
        </w:rPr>
      </w:r>
      <w:r w:rsidR="00476EEE">
        <w:rPr>
          <w:rFonts w:eastAsia="Times New Roman" w:cs="Times New Roman"/>
          <w:color w:val="1A1A1A"/>
          <w:sz w:val="22"/>
          <w:szCs w:val="22"/>
        </w:rPr>
        <w:fldChar w:fldCharType="separate"/>
      </w:r>
      <w:r w:rsidR="00476EEE">
        <w:t xml:space="preserve">Table </w:t>
      </w:r>
      <w:r w:rsidR="00476EEE">
        <w:rPr>
          <w:noProof/>
        </w:rPr>
        <w:t>5</w:t>
      </w:r>
      <w:r w:rsidR="00476EEE">
        <w:rPr>
          <w:rFonts w:eastAsia="Times New Roman" w:cs="Times New Roman"/>
          <w:color w:val="1A1A1A"/>
          <w:sz w:val="22"/>
          <w:szCs w:val="22"/>
        </w:rPr>
        <w:fldChar w:fldCharType="end"/>
      </w:r>
      <w:r>
        <w:rPr>
          <w:rFonts w:eastAsia="Times New Roman" w:cs="Times New Roman"/>
          <w:color w:val="1A1A1A"/>
          <w:sz w:val="22"/>
          <w:szCs w:val="22"/>
        </w:rPr>
        <w:t xml:space="preserve"> and </w:t>
      </w:r>
      <w:r w:rsidR="00365D4D">
        <w:rPr>
          <w:rFonts w:eastAsia="Times New Roman" w:cs="Times New Roman"/>
          <w:color w:val="1A1A1A"/>
          <w:sz w:val="22"/>
          <w:szCs w:val="22"/>
        </w:rPr>
        <w:fldChar w:fldCharType="begin"/>
      </w:r>
      <w:r w:rsidR="00365D4D">
        <w:rPr>
          <w:rFonts w:eastAsia="Times New Roman" w:cs="Times New Roman"/>
          <w:color w:val="1A1A1A"/>
          <w:sz w:val="22"/>
          <w:szCs w:val="22"/>
        </w:rPr>
        <w:instrText xml:space="preserve"> REF _Ref227677078 \h </w:instrText>
      </w:r>
      <w:r w:rsidR="00365D4D">
        <w:rPr>
          <w:rFonts w:eastAsia="Times New Roman" w:cs="Times New Roman"/>
          <w:color w:val="1A1A1A"/>
          <w:sz w:val="22"/>
          <w:szCs w:val="22"/>
        </w:rPr>
      </w:r>
      <w:r w:rsidR="00365D4D">
        <w:rPr>
          <w:rFonts w:eastAsia="Times New Roman" w:cs="Times New Roman"/>
          <w:color w:val="1A1A1A"/>
          <w:sz w:val="22"/>
          <w:szCs w:val="22"/>
        </w:rPr>
        <w:fldChar w:fldCharType="separate"/>
      </w:r>
      <w:r w:rsidR="00365D4D">
        <w:t xml:space="preserve">Figure </w:t>
      </w:r>
      <w:r w:rsidR="00365D4D">
        <w:rPr>
          <w:noProof/>
        </w:rPr>
        <w:t>13</w:t>
      </w:r>
      <w:r w:rsidR="00365D4D">
        <w:rPr>
          <w:rFonts w:eastAsia="Times New Roman" w:cs="Times New Roman"/>
          <w:color w:val="1A1A1A"/>
          <w:sz w:val="22"/>
          <w:szCs w:val="22"/>
        </w:rPr>
        <w:fldChar w:fldCharType="end"/>
      </w:r>
      <w:r>
        <w:rPr>
          <w:rFonts w:eastAsia="Times New Roman" w:cs="Times New Roman"/>
          <w:color w:val="1A1A1A"/>
          <w:sz w:val="22"/>
          <w:szCs w:val="22"/>
        </w:rPr>
        <w:t xml:space="preserve"> present </w:t>
      </w:r>
      <w:r>
        <w:rPr>
          <w:rFonts w:eastAsia="Times New Roman" w:cs="Times New Roman"/>
          <w:color w:val="1A1A1A"/>
          <w:sz w:val="22"/>
          <w:szCs w:val="22"/>
        </w:rPr>
        <w:lastRenderedPageBreak/>
        <w:t>density values for both sites across the three epochs, benchmarked against the ADB Pacific informal settlement norm of 15–25 structures per hectare.</w:t>
      </w:r>
    </w:p>
    <w:p w14:paraId="39D87836" w14:textId="25C95E4D" w:rsidR="00642AEF" w:rsidRDefault="00476EEE" w:rsidP="00476EEE">
      <w:pPr>
        <w:pStyle w:val="Caption"/>
      </w:pPr>
      <w:bookmarkStart w:id="80" w:name="_Ref227677000"/>
      <w:bookmarkStart w:id="81" w:name="_Toc228285971"/>
      <w:r>
        <w:t xml:space="preserve">Table </w:t>
      </w:r>
      <w:r>
        <w:fldChar w:fldCharType="begin"/>
      </w:r>
      <w:r>
        <w:instrText xml:space="preserve"> SEQ Table \* ARABIC </w:instrText>
      </w:r>
      <w:r>
        <w:fldChar w:fldCharType="separate"/>
      </w:r>
      <w:r w:rsidR="00C93E55">
        <w:rPr>
          <w:noProof/>
        </w:rPr>
        <w:t>5</w:t>
      </w:r>
      <w:r>
        <w:fldChar w:fldCharType="end"/>
      </w:r>
      <w:bookmarkEnd w:id="80"/>
      <w:r>
        <w:t xml:space="preserve">. </w:t>
      </w:r>
      <w:r w:rsidRPr="0028126E">
        <w:t>Settlement density by epoch for Solomon Islands study sites. Pacific norm: 15–25 str/ha</w:t>
      </w:r>
      <w:bookmarkEnd w:id="81"/>
    </w:p>
    <w:tbl>
      <w:tblPr>
        <w:tblStyle w:val="TableGrid"/>
        <w:tblW w:w="8500" w:type="dxa"/>
        <w:tblLook w:val="04A0" w:firstRow="1" w:lastRow="0" w:firstColumn="1" w:lastColumn="0" w:noHBand="0" w:noVBand="1"/>
      </w:tblPr>
      <w:tblGrid>
        <w:gridCol w:w="1800"/>
        <w:gridCol w:w="800"/>
        <w:gridCol w:w="1300"/>
        <w:gridCol w:w="1100"/>
        <w:gridCol w:w="1600"/>
        <w:gridCol w:w="1900"/>
      </w:tblGrid>
      <w:tr w:rsidR="00642AEF" w:rsidRPr="00642AEF" w14:paraId="1608C1DF" w14:textId="77777777" w:rsidTr="00642AEF">
        <w:tc>
          <w:tcPr>
            <w:tcW w:w="1800" w:type="dxa"/>
          </w:tcPr>
          <w:p w14:paraId="408892D3" w14:textId="77777777" w:rsidR="00642AEF" w:rsidRPr="00642AEF" w:rsidRDefault="00642AEF" w:rsidP="00E35E55">
            <w:pPr>
              <w:spacing w:line="480" w:lineRule="auto"/>
              <w:jc w:val="center"/>
            </w:pPr>
            <w:r w:rsidRPr="00642AEF">
              <w:rPr>
                <w:rFonts w:ascii="Arial" w:eastAsia="Arial" w:hAnsi="Arial" w:cs="Arial"/>
                <w:b/>
                <w:bCs/>
                <w:sz w:val="19"/>
                <w:szCs w:val="19"/>
              </w:rPr>
              <w:t>Site</w:t>
            </w:r>
          </w:p>
        </w:tc>
        <w:tc>
          <w:tcPr>
            <w:tcW w:w="800" w:type="dxa"/>
          </w:tcPr>
          <w:p w14:paraId="52756F02" w14:textId="77777777" w:rsidR="00642AEF" w:rsidRPr="00642AEF" w:rsidRDefault="00642AEF" w:rsidP="00E35E55">
            <w:pPr>
              <w:spacing w:line="480" w:lineRule="auto"/>
              <w:jc w:val="center"/>
            </w:pPr>
            <w:r w:rsidRPr="00642AEF">
              <w:rPr>
                <w:rFonts w:ascii="Arial" w:eastAsia="Arial" w:hAnsi="Arial" w:cs="Arial"/>
                <w:b/>
                <w:bCs/>
                <w:sz w:val="19"/>
                <w:szCs w:val="19"/>
              </w:rPr>
              <w:t>Year</w:t>
            </w:r>
          </w:p>
        </w:tc>
        <w:tc>
          <w:tcPr>
            <w:tcW w:w="1300" w:type="dxa"/>
          </w:tcPr>
          <w:p w14:paraId="7E308F11" w14:textId="77777777" w:rsidR="00642AEF" w:rsidRPr="00642AEF" w:rsidRDefault="00642AEF" w:rsidP="00E35E55">
            <w:pPr>
              <w:spacing w:line="480" w:lineRule="auto"/>
              <w:jc w:val="center"/>
            </w:pPr>
            <w:r w:rsidRPr="00642AEF">
              <w:rPr>
                <w:rFonts w:ascii="Arial" w:eastAsia="Arial" w:hAnsi="Arial" w:cs="Arial"/>
                <w:b/>
                <w:bCs/>
                <w:sz w:val="19"/>
                <w:szCs w:val="19"/>
              </w:rPr>
              <w:t>Building Count</w:t>
            </w:r>
          </w:p>
        </w:tc>
        <w:tc>
          <w:tcPr>
            <w:tcW w:w="1100" w:type="dxa"/>
          </w:tcPr>
          <w:p w14:paraId="27ED7C3C" w14:textId="77777777" w:rsidR="00642AEF" w:rsidRPr="00642AEF" w:rsidRDefault="00642AEF" w:rsidP="00E35E55">
            <w:pPr>
              <w:spacing w:line="480" w:lineRule="auto"/>
              <w:jc w:val="center"/>
            </w:pPr>
            <w:r w:rsidRPr="00642AEF">
              <w:rPr>
                <w:rFonts w:ascii="Arial" w:eastAsia="Arial" w:hAnsi="Arial" w:cs="Arial"/>
                <w:b/>
                <w:bCs/>
                <w:sz w:val="19"/>
                <w:szCs w:val="19"/>
              </w:rPr>
              <w:t>Area (ha)</w:t>
            </w:r>
          </w:p>
        </w:tc>
        <w:tc>
          <w:tcPr>
            <w:tcW w:w="1600" w:type="dxa"/>
          </w:tcPr>
          <w:p w14:paraId="5CC3C36A" w14:textId="77777777" w:rsidR="00642AEF" w:rsidRPr="00642AEF" w:rsidRDefault="00642AEF" w:rsidP="00E35E55">
            <w:pPr>
              <w:spacing w:line="480" w:lineRule="auto"/>
              <w:jc w:val="center"/>
            </w:pPr>
            <w:r w:rsidRPr="00642AEF">
              <w:rPr>
                <w:rFonts w:ascii="Arial" w:eastAsia="Arial" w:hAnsi="Arial" w:cs="Arial"/>
                <w:b/>
                <w:bCs/>
                <w:sz w:val="19"/>
                <w:szCs w:val="19"/>
              </w:rPr>
              <w:t>Density (str/ha)</w:t>
            </w:r>
          </w:p>
        </w:tc>
        <w:tc>
          <w:tcPr>
            <w:tcW w:w="1900" w:type="dxa"/>
          </w:tcPr>
          <w:p w14:paraId="5D2CAD7F" w14:textId="77777777" w:rsidR="00642AEF" w:rsidRPr="00642AEF" w:rsidRDefault="00642AEF" w:rsidP="00E35E55">
            <w:pPr>
              <w:spacing w:line="480" w:lineRule="auto"/>
              <w:jc w:val="center"/>
            </w:pPr>
            <w:r w:rsidRPr="00642AEF">
              <w:rPr>
                <w:rFonts w:ascii="Arial" w:eastAsia="Arial" w:hAnsi="Arial" w:cs="Arial"/>
                <w:b/>
                <w:bCs/>
                <w:sz w:val="19"/>
                <w:szCs w:val="19"/>
              </w:rPr>
              <w:t>vs. Pacific Norm (15–25/ha)</w:t>
            </w:r>
          </w:p>
        </w:tc>
      </w:tr>
      <w:tr w:rsidR="00642AEF" w:rsidRPr="00642AEF" w14:paraId="5AFCCED6" w14:textId="77777777" w:rsidTr="00642AEF">
        <w:tc>
          <w:tcPr>
            <w:tcW w:w="1800" w:type="dxa"/>
          </w:tcPr>
          <w:p w14:paraId="69024E98" w14:textId="77777777" w:rsidR="00642AEF" w:rsidRPr="00642AEF" w:rsidRDefault="00642AEF" w:rsidP="00E35E55">
            <w:pPr>
              <w:spacing w:line="480" w:lineRule="auto"/>
            </w:pPr>
            <w:r w:rsidRPr="00642AEF">
              <w:rPr>
                <w:rFonts w:eastAsia="Times New Roman" w:cs="Times New Roman"/>
                <w:sz w:val="19"/>
                <w:szCs w:val="19"/>
              </w:rPr>
              <w:t>White River</w:t>
            </w:r>
          </w:p>
        </w:tc>
        <w:tc>
          <w:tcPr>
            <w:tcW w:w="800" w:type="dxa"/>
          </w:tcPr>
          <w:p w14:paraId="188DFB1B" w14:textId="77777777" w:rsidR="00642AEF" w:rsidRPr="00642AEF" w:rsidRDefault="00642AEF" w:rsidP="00E35E55">
            <w:pPr>
              <w:spacing w:line="480" w:lineRule="auto"/>
            </w:pPr>
            <w:r w:rsidRPr="00642AEF">
              <w:rPr>
                <w:rFonts w:eastAsia="Times New Roman" w:cs="Times New Roman"/>
                <w:sz w:val="19"/>
                <w:szCs w:val="19"/>
              </w:rPr>
              <w:t>2006</w:t>
            </w:r>
          </w:p>
        </w:tc>
        <w:tc>
          <w:tcPr>
            <w:tcW w:w="1300" w:type="dxa"/>
          </w:tcPr>
          <w:p w14:paraId="19E70524" w14:textId="77777777" w:rsidR="00642AEF" w:rsidRPr="00642AEF" w:rsidRDefault="00642AEF" w:rsidP="00E35E55">
            <w:pPr>
              <w:spacing w:line="480" w:lineRule="auto"/>
            </w:pPr>
            <w:r w:rsidRPr="00642AEF">
              <w:rPr>
                <w:rFonts w:eastAsia="Times New Roman" w:cs="Times New Roman"/>
                <w:sz w:val="19"/>
                <w:szCs w:val="19"/>
              </w:rPr>
              <w:t>280</w:t>
            </w:r>
          </w:p>
        </w:tc>
        <w:tc>
          <w:tcPr>
            <w:tcW w:w="1100" w:type="dxa"/>
          </w:tcPr>
          <w:p w14:paraId="4EBCF0BF" w14:textId="77777777" w:rsidR="00642AEF" w:rsidRPr="00642AEF" w:rsidRDefault="00642AEF" w:rsidP="00E35E55">
            <w:pPr>
              <w:spacing w:line="480" w:lineRule="auto"/>
            </w:pPr>
            <w:r w:rsidRPr="00642AEF">
              <w:rPr>
                <w:rFonts w:eastAsia="Times New Roman" w:cs="Times New Roman"/>
                <w:sz w:val="19"/>
                <w:szCs w:val="19"/>
              </w:rPr>
              <w:t>47.59</w:t>
            </w:r>
          </w:p>
        </w:tc>
        <w:tc>
          <w:tcPr>
            <w:tcW w:w="1600" w:type="dxa"/>
          </w:tcPr>
          <w:p w14:paraId="416CB1D8" w14:textId="77777777" w:rsidR="00642AEF" w:rsidRPr="00642AEF" w:rsidRDefault="00642AEF" w:rsidP="00E35E55">
            <w:pPr>
              <w:spacing w:line="480" w:lineRule="auto"/>
            </w:pPr>
            <w:r w:rsidRPr="00642AEF">
              <w:rPr>
                <w:rFonts w:eastAsia="Times New Roman" w:cs="Times New Roman"/>
                <w:sz w:val="19"/>
                <w:szCs w:val="19"/>
              </w:rPr>
              <w:t>5.88</w:t>
            </w:r>
          </w:p>
        </w:tc>
        <w:tc>
          <w:tcPr>
            <w:tcW w:w="1900" w:type="dxa"/>
          </w:tcPr>
          <w:p w14:paraId="01EF78E0" w14:textId="77777777" w:rsidR="00642AEF" w:rsidRPr="00642AEF" w:rsidRDefault="00642AEF" w:rsidP="00E35E55">
            <w:pPr>
              <w:spacing w:line="480" w:lineRule="auto"/>
            </w:pPr>
            <w:r w:rsidRPr="00642AEF">
              <w:rPr>
                <w:rFonts w:eastAsia="Times New Roman" w:cs="Times New Roman"/>
                <w:sz w:val="19"/>
                <w:szCs w:val="19"/>
              </w:rPr>
              <w:t>Below norm</w:t>
            </w:r>
          </w:p>
        </w:tc>
      </w:tr>
      <w:tr w:rsidR="00642AEF" w:rsidRPr="00642AEF" w14:paraId="2E047CF2" w14:textId="77777777" w:rsidTr="00642AEF">
        <w:tc>
          <w:tcPr>
            <w:tcW w:w="1800" w:type="dxa"/>
          </w:tcPr>
          <w:p w14:paraId="2F97E10E" w14:textId="77777777" w:rsidR="00642AEF" w:rsidRPr="00642AEF" w:rsidRDefault="00642AEF" w:rsidP="00E35E55">
            <w:pPr>
              <w:spacing w:line="480" w:lineRule="auto"/>
            </w:pPr>
            <w:r w:rsidRPr="00642AEF">
              <w:rPr>
                <w:rFonts w:eastAsia="Times New Roman" w:cs="Times New Roman"/>
                <w:sz w:val="19"/>
                <w:szCs w:val="19"/>
              </w:rPr>
              <w:t>White River</w:t>
            </w:r>
          </w:p>
        </w:tc>
        <w:tc>
          <w:tcPr>
            <w:tcW w:w="800" w:type="dxa"/>
          </w:tcPr>
          <w:p w14:paraId="70A1A37C" w14:textId="77777777" w:rsidR="00642AEF" w:rsidRPr="00642AEF" w:rsidRDefault="00642AEF" w:rsidP="00E35E55">
            <w:pPr>
              <w:spacing w:line="480" w:lineRule="auto"/>
            </w:pPr>
            <w:r w:rsidRPr="00642AEF">
              <w:rPr>
                <w:rFonts w:eastAsia="Times New Roman" w:cs="Times New Roman"/>
                <w:sz w:val="19"/>
                <w:szCs w:val="19"/>
              </w:rPr>
              <w:t>2015</w:t>
            </w:r>
          </w:p>
        </w:tc>
        <w:tc>
          <w:tcPr>
            <w:tcW w:w="1300" w:type="dxa"/>
          </w:tcPr>
          <w:p w14:paraId="0409BE3E" w14:textId="77777777" w:rsidR="00642AEF" w:rsidRPr="00642AEF" w:rsidRDefault="00642AEF" w:rsidP="00E35E55">
            <w:pPr>
              <w:spacing w:line="480" w:lineRule="auto"/>
            </w:pPr>
            <w:r w:rsidRPr="00642AEF">
              <w:rPr>
                <w:rFonts w:eastAsia="Times New Roman" w:cs="Times New Roman"/>
                <w:sz w:val="19"/>
                <w:szCs w:val="19"/>
              </w:rPr>
              <w:t>503</w:t>
            </w:r>
          </w:p>
        </w:tc>
        <w:tc>
          <w:tcPr>
            <w:tcW w:w="1100" w:type="dxa"/>
          </w:tcPr>
          <w:p w14:paraId="04D3FD1C" w14:textId="77777777" w:rsidR="00642AEF" w:rsidRPr="00642AEF" w:rsidRDefault="00642AEF" w:rsidP="00E35E55">
            <w:pPr>
              <w:spacing w:line="480" w:lineRule="auto"/>
            </w:pPr>
            <w:r w:rsidRPr="00642AEF">
              <w:rPr>
                <w:rFonts w:eastAsia="Times New Roman" w:cs="Times New Roman"/>
                <w:sz w:val="19"/>
                <w:szCs w:val="19"/>
              </w:rPr>
              <w:t>47.59</w:t>
            </w:r>
          </w:p>
        </w:tc>
        <w:tc>
          <w:tcPr>
            <w:tcW w:w="1600" w:type="dxa"/>
          </w:tcPr>
          <w:p w14:paraId="53A1D192" w14:textId="77777777" w:rsidR="00642AEF" w:rsidRPr="00642AEF" w:rsidRDefault="00642AEF" w:rsidP="00E35E55">
            <w:pPr>
              <w:spacing w:line="480" w:lineRule="auto"/>
            </w:pPr>
            <w:r w:rsidRPr="00642AEF">
              <w:rPr>
                <w:rFonts w:eastAsia="Times New Roman" w:cs="Times New Roman"/>
                <w:sz w:val="19"/>
                <w:szCs w:val="19"/>
              </w:rPr>
              <w:t>10.57</w:t>
            </w:r>
          </w:p>
        </w:tc>
        <w:tc>
          <w:tcPr>
            <w:tcW w:w="1900" w:type="dxa"/>
          </w:tcPr>
          <w:p w14:paraId="01F1A2F0" w14:textId="77777777" w:rsidR="00642AEF" w:rsidRPr="00642AEF" w:rsidRDefault="00642AEF" w:rsidP="00E35E55">
            <w:pPr>
              <w:spacing w:line="480" w:lineRule="auto"/>
            </w:pPr>
            <w:r w:rsidRPr="00642AEF">
              <w:rPr>
                <w:rFonts w:eastAsia="Times New Roman" w:cs="Times New Roman"/>
                <w:sz w:val="19"/>
                <w:szCs w:val="19"/>
              </w:rPr>
              <w:t>Below norm</w:t>
            </w:r>
          </w:p>
        </w:tc>
      </w:tr>
      <w:tr w:rsidR="00642AEF" w:rsidRPr="00642AEF" w14:paraId="3A36E5CA" w14:textId="77777777" w:rsidTr="00642AEF">
        <w:tc>
          <w:tcPr>
            <w:tcW w:w="1800" w:type="dxa"/>
          </w:tcPr>
          <w:p w14:paraId="7D3A2CC0" w14:textId="77777777" w:rsidR="00642AEF" w:rsidRPr="00642AEF" w:rsidRDefault="00642AEF" w:rsidP="00E35E55">
            <w:pPr>
              <w:spacing w:line="480" w:lineRule="auto"/>
            </w:pPr>
            <w:r w:rsidRPr="00642AEF">
              <w:rPr>
                <w:rFonts w:eastAsia="Times New Roman" w:cs="Times New Roman"/>
                <w:sz w:val="19"/>
                <w:szCs w:val="19"/>
              </w:rPr>
              <w:t>White River</w:t>
            </w:r>
          </w:p>
        </w:tc>
        <w:tc>
          <w:tcPr>
            <w:tcW w:w="800" w:type="dxa"/>
          </w:tcPr>
          <w:p w14:paraId="3BD3B49E" w14:textId="77777777" w:rsidR="00642AEF" w:rsidRPr="00642AEF" w:rsidRDefault="00642AEF" w:rsidP="00E35E55">
            <w:pPr>
              <w:spacing w:line="480" w:lineRule="auto"/>
            </w:pPr>
            <w:r w:rsidRPr="00642AEF">
              <w:rPr>
                <w:rFonts w:eastAsia="Times New Roman" w:cs="Times New Roman"/>
                <w:sz w:val="19"/>
                <w:szCs w:val="19"/>
              </w:rPr>
              <w:t>2025</w:t>
            </w:r>
          </w:p>
        </w:tc>
        <w:tc>
          <w:tcPr>
            <w:tcW w:w="1300" w:type="dxa"/>
          </w:tcPr>
          <w:p w14:paraId="43C4D668" w14:textId="77777777" w:rsidR="00642AEF" w:rsidRPr="00642AEF" w:rsidRDefault="00642AEF" w:rsidP="00E35E55">
            <w:pPr>
              <w:spacing w:line="480" w:lineRule="auto"/>
            </w:pPr>
            <w:r w:rsidRPr="00642AEF">
              <w:rPr>
                <w:rFonts w:eastAsia="Times New Roman" w:cs="Times New Roman"/>
                <w:sz w:val="19"/>
                <w:szCs w:val="19"/>
              </w:rPr>
              <w:t>608</w:t>
            </w:r>
          </w:p>
        </w:tc>
        <w:tc>
          <w:tcPr>
            <w:tcW w:w="1100" w:type="dxa"/>
          </w:tcPr>
          <w:p w14:paraId="716238C8" w14:textId="77777777" w:rsidR="00642AEF" w:rsidRPr="00642AEF" w:rsidRDefault="00642AEF" w:rsidP="00E35E55">
            <w:pPr>
              <w:spacing w:line="480" w:lineRule="auto"/>
            </w:pPr>
            <w:r w:rsidRPr="00642AEF">
              <w:rPr>
                <w:rFonts w:eastAsia="Times New Roman" w:cs="Times New Roman"/>
                <w:sz w:val="19"/>
                <w:szCs w:val="19"/>
              </w:rPr>
              <w:t>47.59</w:t>
            </w:r>
          </w:p>
        </w:tc>
        <w:tc>
          <w:tcPr>
            <w:tcW w:w="1600" w:type="dxa"/>
          </w:tcPr>
          <w:p w14:paraId="60294B2A" w14:textId="77777777" w:rsidR="00642AEF" w:rsidRPr="00642AEF" w:rsidRDefault="00642AEF" w:rsidP="00E35E55">
            <w:pPr>
              <w:spacing w:line="480" w:lineRule="auto"/>
            </w:pPr>
            <w:r w:rsidRPr="00642AEF">
              <w:rPr>
                <w:rFonts w:eastAsia="Times New Roman" w:cs="Times New Roman"/>
                <w:sz w:val="19"/>
                <w:szCs w:val="19"/>
              </w:rPr>
              <w:t>12.78</w:t>
            </w:r>
          </w:p>
        </w:tc>
        <w:tc>
          <w:tcPr>
            <w:tcW w:w="1900" w:type="dxa"/>
          </w:tcPr>
          <w:p w14:paraId="2B356380" w14:textId="77777777" w:rsidR="00642AEF" w:rsidRPr="00642AEF" w:rsidRDefault="00642AEF" w:rsidP="00E35E55">
            <w:pPr>
              <w:spacing w:line="480" w:lineRule="auto"/>
            </w:pPr>
            <w:r w:rsidRPr="00642AEF">
              <w:rPr>
                <w:rFonts w:eastAsia="Times New Roman" w:cs="Times New Roman"/>
                <w:sz w:val="19"/>
                <w:szCs w:val="19"/>
              </w:rPr>
              <w:t>Below norm</w:t>
            </w:r>
          </w:p>
        </w:tc>
      </w:tr>
      <w:tr w:rsidR="00642AEF" w:rsidRPr="00642AEF" w14:paraId="3B29F1F8" w14:textId="77777777" w:rsidTr="00642AEF">
        <w:tc>
          <w:tcPr>
            <w:tcW w:w="1800" w:type="dxa"/>
          </w:tcPr>
          <w:p w14:paraId="671A4A60" w14:textId="77777777" w:rsidR="00642AEF" w:rsidRPr="00642AEF" w:rsidRDefault="00642AEF" w:rsidP="00E35E55">
            <w:pPr>
              <w:spacing w:line="480" w:lineRule="auto"/>
            </w:pPr>
            <w:proofErr w:type="spellStart"/>
            <w:r w:rsidRPr="00642AEF">
              <w:rPr>
                <w:rFonts w:eastAsia="Times New Roman" w:cs="Times New Roman"/>
                <w:sz w:val="19"/>
                <w:szCs w:val="19"/>
              </w:rPr>
              <w:t>Mbumburu</w:t>
            </w:r>
            <w:proofErr w:type="spellEnd"/>
          </w:p>
        </w:tc>
        <w:tc>
          <w:tcPr>
            <w:tcW w:w="800" w:type="dxa"/>
          </w:tcPr>
          <w:p w14:paraId="76A43677" w14:textId="77777777" w:rsidR="00642AEF" w:rsidRPr="00642AEF" w:rsidRDefault="00642AEF" w:rsidP="00E35E55">
            <w:pPr>
              <w:spacing w:line="480" w:lineRule="auto"/>
            </w:pPr>
            <w:r w:rsidRPr="00642AEF">
              <w:rPr>
                <w:rFonts w:eastAsia="Times New Roman" w:cs="Times New Roman"/>
                <w:sz w:val="19"/>
                <w:szCs w:val="19"/>
              </w:rPr>
              <w:t>2006</w:t>
            </w:r>
          </w:p>
        </w:tc>
        <w:tc>
          <w:tcPr>
            <w:tcW w:w="1300" w:type="dxa"/>
          </w:tcPr>
          <w:p w14:paraId="14CA5B29" w14:textId="77777777" w:rsidR="00642AEF" w:rsidRPr="00642AEF" w:rsidRDefault="00642AEF" w:rsidP="00E35E55">
            <w:pPr>
              <w:spacing w:line="480" w:lineRule="auto"/>
            </w:pPr>
            <w:r w:rsidRPr="00642AEF">
              <w:rPr>
                <w:rFonts w:eastAsia="Times New Roman" w:cs="Times New Roman"/>
                <w:sz w:val="19"/>
                <w:szCs w:val="19"/>
              </w:rPr>
              <w:t>156</w:t>
            </w:r>
          </w:p>
        </w:tc>
        <w:tc>
          <w:tcPr>
            <w:tcW w:w="1100" w:type="dxa"/>
          </w:tcPr>
          <w:p w14:paraId="3217E4F9" w14:textId="77777777" w:rsidR="00642AEF" w:rsidRPr="00642AEF" w:rsidRDefault="00642AEF" w:rsidP="00E35E55">
            <w:pPr>
              <w:spacing w:line="480" w:lineRule="auto"/>
            </w:pPr>
            <w:r w:rsidRPr="00642AEF">
              <w:rPr>
                <w:rFonts w:eastAsia="Times New Roman" w:cs="Times New Roman"/>
                <w:sz w:val="19"/>
                <w:szCs w:val="19"/>
              </w:rPr>
              <w:t>40.98</w:t>
            </w:r>
          </w:p>
        </w:tc>
        <w:tc>
          <w:tcPr>
            <w:tcW w:w="1600" w:type="dxa"/>
          </w:tcPr>
          <w:p w14:paraId="59B7FD52" w14:textId="77777777" w:rsidR="00642AEF" w:rsidRPr="00642AEF" w:rsidRDefault="00642AEF" w:rsidP="00E35E55">
            <w:pPr>
              <w:spacing w:line="480" w:lineRule="auto"/>
            </w:pPr>
            <w:r w:rsidRPr="00642AEF">
              <w:rPr>
                <w:rFonts w:eastAsia="Times New Roman" w:cs="Times New Roman"/>
                <w:sz w:val="19"/>
                <w:szCs w:val="19"/>
              </w:rPr>
              <w:t>3.81</w:t>
            </w:r>
          </w:p>
        </w:tc>
        <w:tc>
          <w:tcPr>
            <w:tcW w:w="1900" w:type="dxa"/>
          </w:tcPr>
          <w:p w14:paraId="027E1CF7" w14:textId="77777777" w:rsidR="00642AEF" w:rsidRPr="00642AEF" w:rsidRDefault="00642AEF" w:rsidP="00E35E55">
            <w:pPr>
              <w:spacing w:line="480" w:lineRule="auto"/>
            </w:pPr>
            <w:r w:rsidRPr="00642AEF">
              <w:rPr>
                <w:rFonts w:eastAsia="Times New Roman" w:cs="Times New Roman"/>
                <w:sz w:val="19"/>
                <w:szCs w:val="19"/>
              </w:rPr>
              <w:t>Below norm</w:t>
            </w:r>
          </w:p>
        </w:tc>
      </w:tr>
      <w:tr w:rsidR="00642AEF" w:rsidRPr="00642AEF" w14:paraId="4EAF79F5" w14:textId="77777777" w:rsidTr="00642AEF">
        <w:tc>
          <w:tcPr>
            <w:tcW w:w="1800" w:type="dxa"/>
          </w:tcPr>
          <w:p w14:paraId="53348073" w14:textId="77777777" w:rsidR="00642AEF" w:rsidRPr="00642AEF" w:rsidRDefault="00642AEF" w:rsidP="00E35E55">
            <w:pPr>
              <w:spacing w:line="480" w:lineRule="auto"/>
            </w:pPr>
            <w:proofErr w:type="spellStart"/>
            <w:r w:rsidRPr="00642AEF">
              <w:rPr>
                <w:rFonts w:eastAsia="Times New Roman" w:cs="Times New Roman"/>
                <w:sz w:val="19"/>
                <w:szCs w:val="19"/>
              </w:rPr>
              <w:t>Mbumburu</w:t>
            </w:r>
            <w:proofErr w:type="spellEnd"/>
          </w:p>
        </w:tc>
        <w:tc>
          <w:tcPr>
            <w:tcW w:w="800" w:type="dxa"/>
          </w:tcPr>
          <w:p w14:paraId="2030A5F4" w14:textId="77777777" w:rsidR="00642AEF" w:rsidRPr="00642AEF" w:rsidRDefault="00642AEF" w:rsidP="00E35E55">
            <w:pPr>
              <w:spacing w:line="480" w:lineRule="auto"/>
            </w:pPr>
            <w:r w:rsidRPr="00642AEF">
              <w:rPr>
                <w:rFonts w:eastAsia="Times New Roman" w:cs="Times New Roman"/>
                <w:sz w:val="19"/>
                <w:szCs w:val="19"/>
              </w:rPr>
              <w:t>2015</w:t>
            </w:r>
          </w:p>
        </w:tc>
        <w:tc>
          <w:tcPr>
            <w:tcW w:w="1300" w:type="dxa"/>
          </w:tcPr>
          <w:p w14:paraId="055B43E2" w14:textId="77777777" w:rsidR="00642AEF" w:rsidRPr="00642AEF" w:rsidRDefault="00642AEF" w:rsidP="00E35E55">
            <w:pPr>
              <w:spacing w:line="480" w:lineRule="auto"/>
            </w:pPr>
            <w:r w:rsidRPr="00642AEF">
              <w:rPr>
                <w:rFonts w:eastAsia="Times New Roman" w:cs="Times New Roman"/>
                <w:sz w:val="19"/>
                <w:szCs w:val="19"/>
              </w:rPr>
              <w:t>260</w:t>
            </w:r>
          </w:p>
        </w:tc>
        <w:tc>
          <w:tcPr>
            <w:tcW w:w="1100" w:type="dxa"/>
          </w:tcPr>
          <w:p w14:paraId="1947D819" w14:textId="77777777" w:rsidR="00642AEF" w:rsidRPr="00642AEF" w:rsidRDefault="00642AEF" w:rsidP="00E35E55">
            <w:pPr>
              <w:spacing w:line="480" w:lineRule="auto"/>
            </w:pPr>
            <w:r w:rsidRPr="00642AEF">
              <w:rPr>
                <w:rFonts w:eastAsia="Times New Roman" w:cs="Times New Roman"/>
                <w:sz w:val="19"/>
                <w:szCs w:val="19"/>
              </w:rPr>
              <w:t>40.98</w:t>
            </w:r>
          </w:p>
        </w:tc>
        <w:tc>
          <w:tcPr>
            <w:tcW w:w="1600" w:type="dxa"/>
          </w:tcPr>
          <w:p w14:paraId="7439E3E3" w14:textId="77777777" w:rsidR="00642AEF" w:rsidRPr="00642AEF" w:rsidRDefault="00642AEF" w:rsidP="00E35E55">
            <w:pPr>
              <w:spacing w:line="480" w:lineRule="auto"/>
            </w:pPr>
            <w:r w:rsidRPr="00642AEF">
              <w:rPr>
                <w:rFonts w:eastAsia="Times New Roman" w:cs="Times New Roman"/>
                <w:sz w:val="19"/>
                <w:szCs w:val="19"/>
              </w:rPr>
              <w:t>6.34</w:t>
            </w:r>
          </w:p>
        </w:tc>
        <w:tc>
          <w:tcPr>
            <w:tcW w:w="1900" w:type="dxa"/>
          </w:tcPr>
          <w:p w14:paraId="6BE86D21" w14:textId="77777777" w:rsidR="00642AEF" w:rsidRPr="00642AEF" w:rsidRDefault="00642AEF" w:rsidP="00E35E55">
            <w:pPr>
              <w:spacing w:line="480" w:lineRule="auto"/>
            </w:pPr>
            <w:r w:rsidRPr="00642AEF">
              <w:rPr>
                <w:rFonts w:eastAsia="Times New Roman" w:cs="Times New Roman"/>
                <w:sz w:val="19"/>
                <w:szCs w:val="19"/>
              </w:rPr>
              <w:t>Below norm</w:t>
            </w:r>
          </w:p>
        </w:tc>
      </w:tr>
      <w:tr w:rsidR="00642AEF" w:rsidRPr="00642AEF" w14:paraId="7BCFA79D" w14:textId="77777777" w:rsidTr="00642AEF">
        <w:tc>
          <w:tcPr>
            <w:tcW w:w="1800" w:type="dxa"/>
          </w:tcPr>
          <w:p w14:paraId="3CE6864B" w14:textId="77777777" w:rsidR="00642AEF" w:rsidRPr="00642AEF" w:rsidRDefault="00642AEF" w:rsidP="00E35E55">
            <w:pPr>
              <w:spacing w:line="480" w:lineRule="auto"/>
            </w:pPr>
            <w:proofErr w:type="spellStart"/>
            <w:r w:rsidRPr="00642AEF">
              <w:rPr>
                <w:rFonts w:eastAsia="Times New Roman" w:cs="Times New Roman"/>
                <w:sz w:val="19"/>
                <w:szCs w:val="19"/>
              </w:rPr>
              <w:t>Mbumburu</w:t>
            </w:r>
            <w:proofErr w:type="spellEnd"/>
          </w:p>
        </w:tc>
        <w:tc>
          <w:tcPr>
            <w:tcW w:w="800" w:type="dxa"/>
          </w:tcPr>
          <w:p w14:paraId="72BAC05D" w14:textId="77777777" w:rsidR="00642AEF" w:rsidRPr="00642AEF" w:rsidRDefault="00642AEF" w:rsidP="00E35E55">
            <w:pPr>
              <w:spacing w:line="480" w:lineRule="auto"/>
            </w:pPr>
            <w:r w:rsidRPr="00642AEF">
              <w:rPr>
                <w:rFonts w:eastAsia="Times New Roman" w:cs="Times New Roman"/>
                <w:sz w:val="19"/>
                <w:szCs w:val="19"/>
              </w:rPr>
              <w:t>2025</w:t>
            </w:r>
          </w:p>
        </w:tc>
        <w:tc>
          <w:tcPr>
            <w:tcW w:w="1300" w:type="dxa"/>
          </w:tcPr>
          <w:p w14:paraId="017296D1" w14:textId="77777777" w:rsidR="00642AEF" w:rsidRPr="00642AEF" w:rsidRDefault="00642AEF" w:rsidP="00E35E55">
            <w:pPr>
              <w:spacing w:line="480" w:lineRule="auto"/>
            </w:pPr>
            <w:r w:rsidRPr="00642AEF">
              <w:rPr>
                <w:rFonts w:eastAsia="Times New Roman" w:cs="Times New Roman"/>
                <w:sz w:val="19"/>
                <w:szCs w:val="19"/>
              </w:rPr>
              <w:t>348</w:t>
            </w:r>
          </w:p>
        </w:tc>
        <w:tc>
          <w:tcPr>
            <w:tcW w:w="1100" w:type="dxa"/>
          </w:tcPr>
          <w:p w14:paraId="24107A1D" w14:textId="77777777" w:rsidR="00642AEF" w:rsidRPr="00642AEF" w:rsidRDefault="00642AEF" w:rsidP="00E35E55">
            <w:pPr>
              <w:spacing w:line="480" w:lineRule="auto"/>
            </w:pPr>
            <w:r w:rsidRPr="00642AEF">
              <w:rPr>
                <w:rFonts w:eastAsia="Times New Roman" w:cs="Times New Roman"/>
                <w:sz w:val="19"/>
                <w:szCs w:val="19"/>
              </w:rPr>
              <w:t>40.98</w:t>
            </w:r>
          </w:p>
        </w:tc>
        <w:tc>
          <w:tcPr>
            <w:tcW w:w="1600" w:type="dxa"/>
          </w:tcPr>
          <w:p w14:paraId="27296821" w14:textId="77777777" w:rsidR="00642AEF" w:rsidRPr="00642AEF" w:rsidRDefault="00642AEF" w:rsidP="00E35E55">
            <w:pPr>
              <w:spacing w:line="480" w:lineRule="auto"/>
            </w:pPr>
            <w:r w:rsidRPr="00642AEF">
              <w:rPr>
                <w:rFonts w:eastAsia="Times New Roman" w:cs="Times New Roman"/>
                <w:sz w:val="19"/>
                <w:szCs w:val="19"/>
              </w:rPr>
              <w:t>8.49</w:t>
            </w:r>
          </w:p>
        </w:tc>
        <w:tc>
          <w:tcPr>
            <w:tcW w:w="1900" w:type="dxa"/>
          </w:tcPr>
          <w:p w14:paraId="7A8C84CD" w14:textId="77777777" w:rsidR="00642AEF" w:rsidRPr="00642AEF" w:rsidRDefault="00642AEF" w:rsidP="00E35E55">
            <w:pPr>
              <w:spacing w:line="480" w:lineRule="auto"/>
            </w:pPr>
            <w:r w:rsidRPr="00642AEF">
              <w:rPr>
                <w:rFonts w:eastAsia="Times New Roman" w:cs="Times New Roman"/>
                <w:sz w:val="19"/>
                <w:szCs w:val="19"/>
              </w:rPr>
              <w:t>Below norm</w:t>
            </w:r>
          </w:p>
        </w:tc>
      </w:tr>
    </w:tbl>
    <w:p w14:paraId="685E3349" w14:textId="4EC894AA" w:rsidR="00642AEF" w:rsidRDefault="00642AEF" w:rsidP="00E35E55">
      <w:pPr>
        <w:spacing w:before="80" w:after="80"/>
      </w:pPr>
    </w:p>
    <w:p w14:paraId="0740B21D" w14:textId="77777777" w:rsidR="007E02C3" w:rsidRDefault="00642AEF" w:rsidP="00E35E55">
      <w:pPr>
        <w:spacing w:after="120"/>
        <w:ind w:firstLine="720"/>
      </w:pPr>
      <w:r>
        <w:rPr>
          <w:rFonts w:eastAsia="Times New Roman" w:cs="Times New Roman"/>
          <w:color w:val="1A1A1A"/>
          <w:sz w:val="22"/>
          <w:szCs w:val="22"/>
        </w:rPr>
        <w:t xml:space="preserve">Both </w:t>
      </w:r>
      <w:proofErr w:type="spellStart"/>
      <w:r>
        <w:rPr>
          <w:rFonts w:eastAsia="Times New Roman" w:cs="Times New Roman"/>
          <w:color w:val="1A1A1A"/>
          <w:sz w:val="22"/>
          <w:szCs w:val="22"/>
        </w:rPr>
        <w:t>sites</w:t>
      </w:r>
      <w:proofErr w:type="spellEnd"/>
      <w:r>
        <w:rPr>
          <w:rFonts w:eastAsia="Times New Roman" w:cs="Times New Roman"/>
          <w:color w:val="1A1A1A"/>
          <w:sz w:val="22"/>
          <w:szCs w:val="22"/>
        </w:rPr>
        <w:t xml:space="preserve"> remain below the Pacific norm of 15–25 structures per hectare across all survey epochs, though White River is approaching the lower norm boundary with a 2025 density of 12.78 str/ha.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at 8.49 str/ha in 2025, remains further below the norm. The trajectory at both sites is one of sustained densification: White River has seen its density more than double from 5.88 to 12.78 str/ha between 2006 and 2025, and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from 3.81 to 8.49 str/ha over the same period. This trajectory suggests </w:t>
      </w:r>
      <w:proofErr w:type="gramStart"/>
      <w:r>
        <w:rPr>
          <w:rFonts w:eastAsia="Times New Roman" w:cs="Times New Roman"/>
          <w:color w:val="1A1A1A"/>
          <w:sz w:val="22"/>
          <w:szCs w:val="22"/>
        </w:rPr>
        <w:t>that,</w:t>
      </w:r>
      <w:proofErr w:type="gramEnd"/>
      <w:r>
        <w:rPr>
          <w:rFonts w:eastAsia="Times New Roman" w:cs="Times New Roman"/>
          <w:color w:val="1A1A1A"/>
          <w:sz w:val="22"/>
          <w:szCs w:val="22"/>
        </w:rPr>
        <w:t xml:space="preserve"> absent expansion of settlement boundaries, White River could approach or enter the lower range of the Pacific density norm within the next decade.</w:t>
      </w:r>
    </w:p>
    <w:p w14:paraId="39AA005F" w14:textId="2C508F30" w:rsidR="00642AEF" w:rsidRDefault="00642AEF" w:rsidP="00E35E55">
      <w:pPr>
        <w:spacing w:after="120"/>
        <w:ind w:firstLine="720"/>
      </w:pPr>
      <w:r>
        <w:rPr>
          <w:rFonts w:eastAsia="Times New Roman" w:cs="Times New Roman"/>
          <w:color w:val="1A1A1A"/>
          <w:sz w:val="22"/>
          <w:szCs w:val="22"/>
        </w:rPr>
        <w:t xml:space="preserve">It is important to note that the settlement boundary areas used for these calculations are fixed at the ADB-delineated extents. In practice, the built-up portions of both sites are smaller than the total boundary area, meaning that actual densities within occupied zones will exceed the site-wide averages reported here. A detailed sub-boundary analysis would be required to </w:t>
      </w:r>
      <w:r w:rsidR="00365D4D">
        <w:rPr>
          <w:rFonts w:eastAsia="Times New Roman" w:cs="Times New Roman"/>
          <w:color w:val="1A1A1A"/>
          <w:sz w:val="22"/>
          <w:szCs w:val="22"/>
        </w:rPr>
        <w:t>characterize</w:t>
      </w:r>
      <w:r>
        <w:rPr>
          <w:rFonts w:eastAsia="Times New Roman" w:cs="Times New Roman"/>
          <w:color w:val="1A1A1A"/>
          <w:sz w:val="22"/>
          <w:szCs w:val="22"/>
        </w:rPr>
        <w:t xml:space="preserve"> densities within distinct </w:t>
      </w:r>
      <w:r w:rsidR="00365D4D">
        <w:rPr>
          <w:rFonts w:eastAsia="Times New Roman" w:cs="Times New Roman"/>
          <w:color w:val="1A1A1A"/>
          <w:sz w:val="22"/>
          <w:szCs w:val="22"/>
        </w:rPr>
        <w:t>neighborhood</w:t>
      </w:r>
      <w:r>
        <w:rPr>
          <w:rFonts w:eastAsia="Times New Roman" w:cs="Times New Roman"/>
          <w:color w:val="1A1A1A"/>
          <w:sz w:val="22"/>
          <w:szCs w:val="22"/>
        </w:rPr>
        <w:t xml:space="preserve"> units, but such analysis is beyond the scope of this preliminary study.</w:t>
      </w:r>
    </w:p>
    <w:p w14:paraId="49DCFFA6" w14:textId="77777777" w:rsidR="00642AEF" w:rsidRDefault="00642AEF" w:rsidP="00E35E55">
      <w:pPr>
        <w:spacing w:after="80"/>
      </w:pPr>
    </w:p>
    <w:p w14:paraId="3E48538E" w14:textId="77777777" w:rsidR="00642AEF" w:rsidRDefault="00642AEF" w:rsidP="00E35E55">
      <w:pPr>
        <w:spacing w:after="60"/>
        <w:jc w:val="center"/>
      </w:pPr>
      <w:r>
        <w:rPr>
          <w:noProof/>
        </w:rPr>
        <w:lastRenderedPageBreak/>
        <w:drawing>
          <wp:inline distT="0" distB="0" distL="0" distR="0" wp14:anchorId="3DD00DEC" wp14:editId="4E619EAF">
            <wp:extent cx="6234545" cy="2819400"/>
            <wp:effectExtent l="0" t="0" r="0" b="0"/>
            <wp:docPr id="890717015" name="Picture 890717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6236154" cy="2820128"/>
                    </a:xfrm>
                    <a:prstGeom prst="rect">
                      <a:avLst/>
                    </a:prstGeom>
                  </pic:spPr>
                </pic:pic>
              </a:graphicData>
            </a:graphic>
          </wp:inline>
        </w:drawing>
      </w:r>
    </w:p>
    <w:p w14:paraId="77BA36AA" w14:textId="45FA3957" w:rsidR="00642AEF" w:rsidRDefault="00365D4D" w:rsidP="00365D4D">
      <w:pPr>
        <w:pStyle w:val="Caption"/>
      </w:pPr>
      <w:bookmarkStart w:id="82" w:name="_Ref227677078"/>
      <w:bookmarkStart w:id="83" w:name="_Toc227691723"/>
      <w:r>
        <w:t xml:space="preserve">Figure </w:t>
      </w:r>
      <w:r>
        <w:fldChar w:fldCharType="begin"/>
      </w:r>
      <w:r>
        <w:instrText xml:space="preserve"> SEQ Figure \* ARABIC </w:instrText>
      </w:r>
      <w:r>
        <w:fldChar w:fldCharType="separate"/>
      </w:r>
      <w:r w:rsidR="00EB6CD8">
        <w:rPr>
          <w:noProof/>
        </w:rPr>
        <w:t>13</w:t>
      </w:r>
      <w:r>
        <w:fldChar w:fldCharType="end"/>
      </w:r>
      <w:bookmarkEnd w:id="82"/>
      <w:r>
        <w:t xml:space="preserve">. </w:t>
      </w:r>
      <w:r w:rsidRPr="00EC4384">
        <w:t>Settlement density (structures per hectare) for both Solomon Islands study sites across all survey epochs. Yellow band = ADB Pacific norm (15–25 str/ha).</w:t>
      </w:r>
      <w:bookmarkEnd w:id="83"/>
    </w:p>
    <w:p w14:paraId="506C3CF8" w14:textId="77777777" w:rsidR="00642AEF" w:rsidRDefault="00642AEF" w:rsidP="00E35E55">
      <w:pPr>
        <w:spacing w:before="240" w:after="0"/>
        <w:rPr>
          <w:rFonts w:ascii="Arial" w:hAnsi="Arial" w:cs="Arial"/>
          <w:i/>
          <w:iCs/>
          <w:sz w:val="22"/>
          <w:szCs w:val="22"/>
        </w:rPr>
      </w:pPr>
    </w:p>
    <w:p w14:paraId="400CB631" w14:textId="77777777" w:rsidR="00F80FAF" w:rsidRDefault="00F80FAF" w:rsidP="00E35E55">
      <w:pPr>
        <w:spacing w:after="0"/>
        <w:rPr>
          <w:rFonts w:ascii="Arial" w:hAnsi="Arial" w:cs="Arial"/>
          <w:i/>
          <w:iCs/>
          <w:sz w:val="22"/>
          <w:szCs w:val="22"/>
        </w:rPr>
      </w:pPr>
      <w:r w:rsidRPr="00112F57">
        <w:rPr>
          <w:rFonts w:ascii="Arial" w:hAnsi="Arial" w:cs="Arial"/>
          <w:i/>
          <w:iCs/>
          <w:sz w:val="22"/>
          <w:szCs w:val="22"/>
        </w:rPr>
        <w:t>Built-up Coverage Ratio</w:t>
      </w:r>
    </w:p>
    <w:p w14:paraId="3D29EAE2" w14:textId="5E3DAD50" w:rsidR="00BD3F8C" w:rsidRDefault="00BD3F8C" w:rsidP="00E35E55">
      <w:pPr>
        <w:spacing w:after="120"/>
        <w:rPr>
          <w:rFonts w:eastAsia="Times New Roman" w:cs="Times New Roman"/>
          <w:color w:val="1A1A1A"/>
          <w:sz w:val="22"/>
          <w:szCs w:val="22"/>
        </w:rPr>
      </w:pPr>
      <w:r>
        <w:rPr>
          <w:rFonts w:eastAsia="Times New Roman" w:cs="Times New Roman"/>
          <w:color w:val="1A1A1A"/>
          <w:sz w:val="22"/>
          <w:szCs w:val="22"/>
        </w:rPr>
        <w:t xml:space="preserve">Built-up coverage, the percentage of settlement boundary area occupied by building footprints, provides a complementary measure of urban intensity sensitive to both building count and individual footprint size.  </w:t>
      </w:r>
      <w:r w:rsidR="00C93E55">
        <w:rPr>
          <w:rFonts w:eastAsia="Times New Roman" w:cs="Times New Roman"/>
          <w:color w:val="1A1A1A"/>
          <w:sz w:val="22"/>
          <w:szCs w:val="22"/>
        </w:rPr>
        <w:fldChar w:fldCharType="begin"/>
      </w:r>
      <w:r w:rsidR="00C93E55">
        <w:rPr>
          <w:rFonts w:eastAsia="Times New Roman" w:cs="Times New Roman"/>
          <w:color w:val="1A1A1A"/>
          <w:sz w:val="22"/>
          <w:szCs w:val="22"/>
        </w:rPr>
        <w:instrText xml:space="preserve"> REF _Ref227677281 \h </w:instrText>
      </w:r>
      <w:r w:rsidR="00C93E55">
        <w:rPr>
          <w:rFonts w:eastAsia="Times New Roman" w:cs="Times New Roman"/>
          <w:color w:val="1A1A1A"/>
          <w:sz w:val="22"/>
          <w:szCs w:val="22"/>
        </w:rPr>
      </w:r>
      <w:r w:rsidR="00C93E55">
        <w:rPr>
          <w:rFonts w:eastAsia="Times New Roman" w:cs="Times New Roman"/>
          <w:color w:val="1A1A1A"/>
          <w:sz w:val="22"/>
          <w:szCs w:val="22"/>
        </w:rPr>
        <w:fldChar w:fldCharType="separate"/>
      </w:r>
      <w:r w:rsidR="00C93E55">
        <w:t xml:space="preserve">Table </w:t>
      </w:r>
      <w:r w:rsidR="00C93E55">
        <w:rPr>
          <w:noProof/>
        </w:rPr>
        <w:t>6</w:t>
      </w:r>
      <w:r w:rsidR="00C93E55">
        <w:rPr>
          <w:rFonts w:eastAsia="Times New Roman" w:cs="Times New Roman"/>
          <w:color w:val="1A1A1A"/>
          <w:sz w:val="22"/>
          <w:szCs w:val="22"/>
        </w:rPr>
        <w:fldChar w:fldCharType="end"/>
      </w:r>
      <w:r w:rsidR="00C93E55">
        <w:rPr>
          <w:rFonts w:eastAsia="Times New Roman" w:cs="Times New Roman"/>
          <w:color w:val="1A1A1A"/>
          <w:sz w:val="22"/>
          <w:szCs w:val="22"/>
        </w:rPr>
        <w:t xml:space="preserve"> </w:t>
      </w:r>
      <w:r>
        <w:rPr>
          <w:rFonts w:eastAsia="Times New Roman" w:cs="Times New Roman"/>
          <w:color w:val="1A1A1A"/>
          <w:sz w:val="22"/>
          <w:szCs w:val="22"/>
        </w:rPr>
        <w:t xml:space="preserve">and </w:t>
      </w:r>
      <w:r w:rsidR="00C93E55">
        <w:rPr>
          <w:rFonts w:eastAsia="Times New Roman" w:cs="Times New Roman"/>
          <w:color w:val="1A1A1A"/>
          <w:sz w:val="22"/>
          <w:szCs w:val="22"/>
        </w:rPr>
        <w:fldChar w:fldCharType="begin"/>
      </w:r>
      <w:r w:rsidR="00C93E55">
        <w:rPr>
          <w:rFonts w:eastAsia="Times New Roman" w:cs="Times New Roman"/>
          <w:color w:val="1A1A1A"/>
          <w:sz w:val="22"/>
          <w:szCs w:val="22"/>
        </w:rPr>
        <w:instrText xml:space="preserve"> REF _Ref227677253 \h </w:instrText>
      </w:r>
      <w:r w:rsidR="00C93E55">
        <w:rPr>
          <w:rFonts w:eastAsia="Times New Roman" w:cs="Times New Roman"/>
          <w:color w:val="1A1A1A"/>
          <w:sz w:val="22"/>
          <w:szCs w:val="22"/>
        </w:rPr>
      </w:r>
      <w:r w:rsidR="00C93E55">
        <w:rPr>
          <w:rFonts w:eastAsia="Times New Roman" w:cs="Times New Roman"/>
          <w:color w:val="1A1A1A"/>
          <w:sz w:val="22"/>
          <w:szCs w:val="22"/>
        </w:rPr>
        <w:fldChar w:fldCharType="separate"/>
      </w:r>
      <w:r w:rsidR="00C93E55">
        <w:t xml:space="preserve">Figure </w:t>
      </w:r>
      <w:r w:rsidR="00C93E55">
        <w:rPr>
          <w:noProof/>
        </w:rPr>
        <w:t>14</w:t>
      </w:r>
      <w:r w:rsidR="00C93E55">
        <w:rPr>
          <w:rFonts w:eastAsia="Times New Roman" w:cs="Times New Roman"/>
          <w:color w:val="1A1A1A"/>
          <w:sz w:val="22"/>
          <w:szCs w:val="22"/>
        </w:rPr>
        <w:fldChar w:fldCharType="end"/>
      </w:r>
      <w:r>
        <w:rPr>
          <w:rFonts w:eastAsia="Times New Roman" w:cs="Times New Roman"/>
          <w:color w:val="1A1A1A"/>
          <w:sz w:val="22"/>
          <w:szCs w:val="22"/>
        </w:rPr>
        <w:t xml:space="preserve"> present coverage trajectories for both sites.</w:t>
      </w:r>
    </w:p>
    <w:p w14:paraId="1FBDBE1C" w14:textId="0DD46D6C" w:rsidR="00C93E55" w:rsidRDefault="00C93E55" w:rsidP="00C93E55">
      <w:pPr>
        <w:pStyle w:val="Caption"/>
      </w:pPr>
      <w:bookmarkStart w:id="84" w:name="_Ref227677281"/>
      <w:bookmarkStart w:id="85" w:name="_Toc228285972"/>
      <w:r>
        <w:t xml:space="preserve">Table </w:t>
      </w:r>
      <w:r>
        <w:fldChar w:fldCharType="begin"/>
      </w:r>
      <w:r>
        <w:instrText xml:space="preserve"> SEQ Table \* ARABIC </w:instrText>
      </w:r>
      <w:r>
        <w:fldChar w:fldCharType="separate"/>
      </w:r>
      <w:r>
        <w:rPr>
          <w:noProof/>
        </w:rPr>
        <w:t>6</w:t>
      </w:r>
      <w:r>
        <w:fldChar w:fldCharType="end"/>
      </w:r>
      <w:bookmarkEnd w:id="84"/>
      <w:r>
        <w:t xml:space="preserve">. </w:t>
      </w:r>
      <w:r w:rsidRPr="00F42D87">
        <w:t>Built-up coverage ratio and total building footprint area by epoch for Solomon Islands study sites</w:t>
      </w:r>
      <w:bookmarkEnd w:id="85"/>
    </w:p>
    <w:tbl>
      <w:tblPr>
        <w:tblStyle w:val="TableGrid"/>
        <w:tblW w:w="8705" w:type="dxa"/>
        <w:tblLook w:val="04A0" w:firstRow="1" w:lastRow="0" w:firstColumn="1" w:lastColumn="0" w:noHBand="0" w:noVBand="1"/>
      </w:tblPr>
      <w:tblGrid>
        <w:gridCol w:w="2363"/>
        <w:gridCol w:w="995"/>
        <w:gridCol w:w="1741"/>
        <w:gridCol w:w="2114"/>
        <w:gridCol w:w="1492"/>
      </w:tblGrid>
      <w:tr w:rsidR="00857DF2" w:rsidRPr="00857DF2" w14:paraId="792F4415" w14:textId="77777777" w:rsidTr="00857DF2">
        <w:trPr>
          <w:trHeight w:val="514"/>
        </w:trPr>
        <w:tc>
          <w:tcPr>
            <w:tcW w:w="2363" w:type="dxa"/>
          </w:tcPr>
          <w:p w14:paraId="770CAF15" w14:textId="77777777" w:rsidR="00BD3F8C" w:rsidRPr="00857DF2" w:rsidRDefault="00BD3F8C" w:rsidP="00E35E55">
            <w:pPr>
              <w:spacing w:line="480" w:lineRule="auto"/>
              <w:jc w:val="center"/>
            </w:pPr>
            <w:r w:rsidRPr="00857DF2">
              <w:rPr>
                <w:rFonts w:ascii="Arial" w:eastAsia="Arial" w:hAnsi="Arial" w:cs="Arial"/>
                <w:b/>
                <w:bCs/>
                <w:sz w:val="19"/>
                <w:szCs w:val="19"/>
              </w:rPr>
              <w:t>Site</w:t>
            </w:r>
          </w:p>
        </w:tc>
        <w:tc>
          <w:tcPr>
            <w:tcW w:w="995" w:type="dxa"/>
          </w:tcPr>
          <w:p w14:paraId="3CA5B948" w14:textId="77777777" w:rsidR="00BD3F8C" w:rsidRPr="00857DF2" w:rsidRDefault="00BD3F8C" w:rsidP="00E35E55">
            <w:pPr>
              <w:spacing w:line="480" w:lineRule="auto"/>
              <w:jc w:val="center"/>
            </w:pPr>
            <w:r w:rsidRPr="00857DF2">
              <w:rPr>
                <w:rFonts w:ascii="Arial" w:eastAsia="Arial" w:hAnsi="Arial" w:cs="Arial"/>
                <w:b/>
                <w:bCs/>
                <w:sz w:val="19"/>
                <w:szCs w:val="19"/>
              </w:rPr>
              <w:t>Year</w:t>
            </w:r>
          </w:p>
        </w:tc>
        <w:tc>
          <w:tcPr>
            <w:tcW w:w="1741" w:type="dxa"/>
          </w:tcPr>
          <w:p w14:paraId="3CC1D45A" w14:textId="77777777" w:rsidR="00BD3F8C" w:rsidRPr="00857DF2" w:rsidRDefault="00BD3F8C" w:rsidP="00E35E55">
            <w:pPr>
              <w:spacing w:line="480" w:lineRule="auto"/>
              <w:jc w:val="center"/>
            </w:pPr>
            <w:r w:rsidRPr="00857DF2">
              <w:rPr>
                <w:rFonts w:ascii="Arial" w:eastAsia="Arial" w:hAnsi="Arial" w:cs="Arial"/>
                <w:b/>
                <w:bCs/>
                <w:sz w:val="19"/>
                <w:szCs w:val="19"/>
              </w:rPr>
              <w:t>Building Count</w:t>
            </w:r>
          </w:p>
        </w:tc>
        <w:tc>
          <w:tcPr>
            <w:tcW w:w="2114" w:type="dxa"/>
          </w:tcPr>
          <w:p w14:paraId="72FC4853" w14:textId="77777777" w:rsidR="00BD3F8C" w:rsidRPr="00857DF2" w:rsidRDefault="00BD3F8C" w:rsidP="00E35E55">
            <w:pPr>
              <w:spacing w:line="480" w:lineRule="auto"/>
              <w:jc w:val="center"/>
            </w:pPr>
            <w:r w:rsidRPr="00857DF2">
              <w:rPr>
                <w:rFonts w:ascii="Arial" w:eastAsia="Arial" w:hAnsi="Arial" w:cs="Arial"/>
                <w:b/>
                <w:bCs/>
                <w:sz w:val="19"/>
                <w:szCs w:val="19"/>
              </w:rPr>
              <w:t xml:space="preserve">Total </w:t>
            </w:r>
            <w:proofErr w:type="spellStart"/>
            <w:r w:rsidRPr="00857DF2">
              <w:rPr>
                <w:rFonts w:ascii="Arial" w:eastAsia="Arial" w:hAnsi="Arial" w:cs="Arial"/>
                <w:b/>
                <w:bCs/>
                <w:sz w:val="19"/>
                <w:szCs w:val="19"/>
              </w:rPr>
              <w:t>Bldg</w:t>
            </w:r>
            <w:proofErr w:type="spellEnd"/>
            <w:r w:rsidRPr="00857DF2">
              <w:rPr>
                <w:rFonts w:ascii="Arial" w:eastAsia="Arial" w:hAnsi="Arial" w:cs="Arial"/>
                <w:b/>
                <w:bCs/>
                <w:sz w:val="19"/>
                <w:szCs w:val="19"/>
              </w:rPr>
              <w:t xml:space="preserve"> Area (m²)</w:t>
            </w:r>
          </w:p>
        </w:tc>
        <w:tc>
          <w:tcPr>
            <w:tcW w:w="1492" w:type="dxa"/>
          </w:tcPr>
          <w:p w14:paraId="536F8ADE" w14:textId="77777777" w:rsidR="00BD3F8C" w:rsidRPr="00857DF2" w:rsidRDefault="00BD3F8C" w:rsidP="00E35E55">
            <w:pPr>
              <w:spacing w:line="480" w:lineRule="auto"/>
              <w:jc w:val="center"/>
            </w:pPr>
            <w:r w:rsidRPr="00857DF2">
              <w:rPr>
                <w:rFonts w:ascii="Arial" w:eastAsia="Arial" w:hAnsi="Arial" w:cs="Arial"/>
                <w:b/>
                <w:bCs/>
                <w:sz w:val="19"/>
                <w:szCs w:val="19"/>
              </w:rPr>
              <w:t>Coverage (%)</w:t>
            </w:r>
          </w:p>
        </w:tc>
      </w:tr>
      <w:tr w:rsidR="00857DF2" w:rsidRPr="00857DF2" w14:paraId="23EC9A9B" w14:textId="77777777" w:rsidTr="00857DF2">
        <w:trPr>
          <w:trHeight w:val="248"/>
        </w:trPr>
        <w:tc>
          <w:tcPr>
            <w:tcW w:w="2363" w:type="dxa"/>
          </w:tcPr>
          <w:p w14:paraId="2553C6E0" w14:textId="77777777" w:rsidR="00BD3F8C" w:rsidRPr="00857DF2" w:rsidRDefault="00BD3F8C" w:rsidP="00E35E55">
            <w:pPr>
              <w:spacing w:line="480" w:lineRule="auto"/>
            </w:pPr>
            <w:r w:rsidRPr="00857DF2">
              <w:rPr>
                <w:rFonts w:eastAsia="Times New Roman" w:cs="Times New Roman"/>
                <w:sz w:val="19"/>
                <w:szCs w:val="19"/>
              </w:rPr>
              <w:t>White River</w:t>
            </w:r>
          </w:p>
        </w:tc>
        <w:tc>
          <w:tcPr>
            <w:tcW w:w="995" w:type="dxa"/>
          </w:tcPr>
          <w:p w14:paraId="1A0152EC" w14:textId="77777777" w:rsidR="00BD3F8C" w:rsidRPr="00857DF2" w:rsidRDefault="00BD3F8C" w:rsidP="00E35E55">
            <w:pPr>
              <w:spacing w:line="480" w:lineRule="auto"/>
            </w:pPr>
            <w:r w:rsidRPr="00857DF2">
              <w:rPr>
                <w:rFonts w:eastAsia="Times New Roman" w:cs="Times New Roman"/>
                <w:sz w:val="19"/>
                <w:szCs w:val="19"/>
              </w:rPr>
              <w:t>2006</w:t>
            </w:r>
          </w:p>
        </w:tc>
        <w:tc>
          <w:tcPr>
            <w:tcW w:w="1741" w:type="dxa"/>
          </w:tcPr>
          <w:p w14:paraId="3FD6EF84" w14:textId="77777777" w:rsidR="00BD3F8C" w:rsidRPr="00857DF2" w:rsidRDefault="00BD3F8C" w:rsidP="00E35E55">
            <w:pPr>
              <w:spacing w:line="480" w:lineRule="auto"/>
            </w:pPr>
            <w:r w:rsidRPr="00857DF2">
              <w:rPr>
                <w:rFonts w:eastAsia="Times New Roman" w:cs="Times New Roman"/>
                <w:sz w:val="19"/>
                <w:szCs w:val="19"/>
              </w:rPr>
              <w:t>280</w:t>
            </w:r>
          </w:p>
        </w:tc>
        <w:tc>
          <w:tcPr>
            <w:tcW w:w="2114" w:type="dxa"/>
          </w:tcPr>
          <w:p w14:paraId="33AF753E" w14:textId="77777777" w:rsidR="00BD3F8C" w:rsidRPr="00857DF2" w:rsidRDefault="00BD3F8C" w:rsidP="00E35E55">
            <w:pPr>
              <w:spacing w:line="480" w:lineRule="auto"/>
            </w:pPr>
            <w:r w:rsidRPr="00857DF2">
              <w:rPr>
                <w:rFonts w:eastAsia="Times New Roman" w:cs="Times New Roman"/>
                <w:sz w:val="19"/>
                <w:szCs w:val="19"/>
              </w:rPr>
              <w:t>26,986</w:t>
            </w:r>
          </w:p>
        </w:tc>
        <w:tc>
          <w:tcPr>
            <w:tcW w:w="1492" w:type="dxa"/>
          </w:tcPr>
          <w:p w14:paraId="6D31A0A4" w14:textId="77777777" w:rsidR="00BD3F8C" w:rsidRPr="00857DF2" w:rsidRDefault="00BD3F8C" w:rsidP="00E35E55">
            <w:pPr>
              <w:spacing w:line="480" w:lineRule="auto"/>
            </w:pPr>
            <w:r w:rsidRPr="00857DF2">
              <w:rPr>
                <w:rFonts w:eastAsia="Times New Roman" w:cs="Times New Roman"/>
                <w:sz w:val="19"/>
                <w:szCs w:val="19"/>
              </w:rPr>
              <w:t>5.67%</w:t>
            </w:r>
          </w:p>
        </w:tc>
      </w:tr>
      <w:tr w:rsidR="00857DF2" w:rsidRPr="00857DF2" w14:paraId="041525CA" w14:textId="77777777" w:rsidTr="00857DF2">
        <w:trPr>
          <w:trHeight w:val="248"/>
        </w:trPr>
        <w:tc>
          <w:tcPr>
            <w:tcW w:w="2363" w:type="dxa"/>
          </w:tcPr>
          <w:p w14:paraId="46F3FCDB" w14:textId="77777777" w:rsidR="00BD3F8C" w:rsidRPr="00857DF2" w:rsidRDefault="00BD3F8C" w:rsidP="00E35E55">
            <w:pPr>
              <w:spacing w:line="480" w:lineRule="auto"/>
            </w:pPr>
            <w:r w:rsidRPr="00857DF2">
              <w:rPr>
                <w:rFonts w:eastAsia="Times New Roman" w:cs="Times New Roman"/>
                <w:sz w:val="19"/>
                <w:szCs w:val="19"/>
              </w:rPr>
              <w:t>White River</w:t>
            </w:r>
          </w:p>
        </w:tc>
        <w:tc>
          <w:tcPr>
            <w:tcW w:w="995" w:type="dxa"/>
          </w:tcPr>
          <w:p w14:paraId="19384184" w14:textId="77777777" w:rsidR="00BD3F8C" w:rsidRPr="00857DF2" w:rsidRDefault="00BD3F8C" w:rsidP="00E35E55">
            <w:pPr>
              <w:spacing w:line="480" w:lineRule="auto"/>
            </w:pPr>
            <w:r w:rsidRPr="00857DF2">
              <w:rPr>
                <w:rFonts w:eastAsia="Times New Roman" w:cs="Times New Roman"/>
                <w:sz w:val="19"/>
                <w:szCs w:val="19"/>
              </w:rPr>
              <w:t>2015</w:t>
            </w:r>
          </w:p>
        </w:tc>
        <w:tc>
          <w:tcPr>
            <w:tcW w:w="1741" w:type="dxa"/>
          </w:tcPr>
          <w:p w14:paraId="1E362445" w14:textId="77777777" w:rsidR="00BD3F8C" w:rsidRPr="00857DF2" w:rsidRDefault="00BD3F8C" w:rsidP="00E35E55">
            <w:pPr>
              <w:spacing w:line="480" w:lineRule="auto"/>
            </w:pPr>
            <w:r w:rsidRPr="00857DF2">
              <w:rPr>
                <w:rFonts w:eastAsia="Times New Roman" w:cs="Times New Roman"/>
                <w:sz w:val="19"/>
                <w:szCs w:val="19"/>
              </w:rPr>
              <w:t>503</w:t>
            </w:r>
          </w:p>
        </w:tc>
        <w:tc>
          <w:tcPr>
            <w:tcW w:w="2114" w:type="dxa"/>
          </w:tcPr>
          <w:p w14:paraId="1E1A3134" w14:textId="77777777" w:rsidR="00BD3F8C" w:rsidRPr="00857DF2" w:rsidRDefault="00BD3F8C" w:rsidP="00E35E55">
            <w:pPr>
              <w:spacing w:line="480" w:lineRule="auto"/>
            </w:pPr>
            <w:r w:rsidRPr="00857DF2">
              <w:rPr>
                <w:rFonts w:eastAsia="Times New Roman" w:cs="Times New Roman"/>
                <w:sz w:val="19"/>
                <w:szCs w:val="19"/>
              </w:rPr>
              <w:t>45,129</w:t>
            </w:r>
          </w:p>
        </w:tc>
        <w:tc>
          <w:tcPr>
            <w:tcW w:w="1492" w:type="dxa"/>
          </w:tcPr>
          <w:p w14:paraId="6DDE4BF7" w14:textId="77777777" w:rsidR="00BD3F8C" w:rsidRPr="00857DF2" w:rsidRDefault="00BD3F8C" w:rsidP="00E35E55">
            <w:pPr>
              <w:spacing w:line="480" w:lineRule="auto"/>
            </w:pPr>
            <w:r w:rsidRPr="00857DF2">
              <w:rPr>
                <w:rFonts w:eastAsia="Times New Roman" w:cs="Times New Roman"/>
                <w:sz w:val="19"/>
                <w:szCs w:val="19"/>
              </w:rPr>
              <w:t>9.48%</w:t>
            </w:r>
          </w:p>
        </w:tc>
      </w:tr>
      <w:tr w:rsidR="00857DF2" w:rsidRPr="00857DF2" w14:paraId="1CB84B51" w14:textId="77777777" w:rsidTr="00857DF2">
        <w:trPr>
          <w:trHeight w:val="248"/>
        </w:trPr>
        <w:tc>
          <w:tcPr>
            <w:tcW w:w="2363" w:type="dxa"/>
          </w:tcPr>
          <w:p w14:paraId="3A576EF4" w14:textId="77777777" w:rsidR="00BD3F8C" w:rsidRPr="00857DF2" w:rsidRDefault="00BD3F8C" w:rsidP="00E35E55">
            <w:pPr>
              <w:spacing w:line="480" w:lineRule="auto"/>
            </w:pPr>
            <w:r w:rsidRPr="00857DF2">
              <w:rPr>
                <w:rFonts w:eastAsia="Times New Roman" w:cs="Times New Roman"/>
                <w:sz w:val="19"/>
                <w:szCs w:val="19"/>
              </w:rPr>
              <w:t>White River</w:t>
            </w:r>
          </w:p>
        </w:tc>
        <w:tc>
          <w:tcPr>
            <w:tcW w:w="995" w:type="dxa"/>
          </w:tcPr>
          <w:p w14:paraId="474865CD" w14:textId="77777777" w:rsidR="00BD3F8C" w:rsidRPr="00857DF2" w:rsidRDefault="00BD3F8C" w:rsidP="00E35E55">
            <w:pPr>
              <w:spacing w:line="480" w:lineRule="auto"/>
            </w:pPr>
            <w:r w:rsidRPr="00857DF2">
              <w:rPr>
                <w:rFonts w:eastAsia="Times New Roman" w:cs="Times New Roman"/>
                <w:sz w:val="19"/>
                <w:szCs w:val="19"/>
              </w:rPr>
              <w:t>2025</w:t>
            </w:r>
          </w:p>
        </w:tc>
        <w:tc>
          <w:tcPr>
            <w:tcW w:w="1741" w:type="dxa"/>
          </w:tcPr>
          <w:p w14:paraId="3F76372C" w14:textId="77777777" w:rsidR="00BD3F8C" w:rsidRPr="00857DF2" w:rsidRDefault="00BD3F8C" w:rsidP="00E35E55">
            <w:pPr>
              <w:spacing w:line="480" w:lineRule="auto"/>
            </w:pPr>
            <w:r w:rsidRPr="00857DF2">
              <w:rPr>
                <w:rFonts w:eastAsia="Times New Roman" w:cs="Times New Roman"/>
                <w:sz w:val="19"/>
                <w:szCs w:val="19"/>
              </w:rPr>
              <w:t>608</w:t>
            </w:r>
          </w:p>
        </w:tc>
        <w:tc>
          <w:tcPr>
            <w:tcW w:w="2114" w:type="dxa"/>
          </w:tcPr>
          <w:p w14:paraId="352F7AB0" w14:textId="77777777" w:rsidR="00BD3F8C" w:rsidRPr="00857DF2" w:rsidRDefault="00BD3F8C" w:rsidP="00E35E55">
            <w:pPr>
              <w:spacing w:line="480" w:lineRule="auto"/>
            </w:pPr>
            <w:r w:rsidRPr="00857DF2">
              <w:rPr>
                <w:rFonts w:eastAsia="Times New Roman" w:cs="Times New Roman"/>
                <w:sz w:val="19"/>
                <w:szCs w:val="19"/>
              </w:rPr>
              <w:t>61,609</w:t>
            </w:r>
          </w:p>
        </w:tc>
        <w:tc>
          <w:tcPr>
            <w:tcW w:w="1492" w:type="dxa"/>
          </w:tcPr>
          <w:p w14:paraId="79827465" w14:textId="77777777" w:rsidR="00BD3F8C" w:rsidRPr="00857DF2" w:rsidRDefault="00BD3F8C" w:rsidP="00E35E55">
            <w:pPr>
              <w:spacing w:line="480" w:lineRule="auto"/>
            </w:pPr>
            <w:r w:rsidRPr="00857DF2">
              <w:rPr>
                <w:rFonts w:eastAsia="Times New Roman" w:cs="Times New Roman"/>
                <w:sz w:val="19"/>
                <w:szCs w:val="19"/>
              </w:rPr>
              <w:t>12.95%</w:t>
            </w:r>
          </w:p>
        </w:tc>
      </w:tr>
      <w:tr w:rsidR="00857DF2" w:rsidRPr="00857DF2" w14:paraId="72F9D388" w14:textId="77777777" w:rsidTr="00857DF2">
        <w:trPr>
          <w:trHeight w:val="265"/>
        </w:trPr>
        <w:tc>
          <w:tcPr>
            <w:tcW w:w="2363" w:type="dxa"/>
          </w:tcPr>
          <w:p w14:paraId="652E2962" w14:textId="77777777" w:rsidR="00BD3F8C" w:rsidRPr="00857DF2" w:rsidRDefault="00BD3F8C" w:rsidP="00E35E55">
            <w:pPr>
              <w:spacing w:line="480" w:lineRule="auto"/>
            </w:pPr>
            <w:proofErr w:type="spellStart"/>
            <w:r w:rsidRPr="00857DF2">
              <w:rPr>
                <w:rFonts w:eastAsia="Times New Roman" w:cs="Times New Roman"/>
                <w:sz w:val="19"/>
                <w:szCs w:val="19"/>
              </w:rPr>
              <w:t>Mbumburu</w:t>
            </w:r>
            <w:proofErr w:type="spellEnd"/>
          </w:p>
        </w:tc>
        <w:tc>
          <w:tcPr>
            <w:tcW w:w="995" w:type="dxa"/>
          </w:tcPr>
          <w:p w14:paraId="36F66EF7" w14:textId="77777777" w:rsidR="00BD3F8C" w:rsidRPr="00857DF2" w:rsidRDefault="00BD3F8C" w:rsidP="00E35E55">
            <w:pPr>
              <w:spacing w:line="480" w:lineRule="auto"/>
            </w:pPr>
            <w:r w:rsidRPr="00857DF2">
              <w:rPr>
                <w:rFonts w:eastAsia="Times New Roman" w:cs="Times New Roman"/>
                <w:sz w:val="19"/>
                <w:szCs w:val="19"/>
              </w:rPr>
              <w:t>2006</w:t>
            </w:r>
          </w:p>
        </w:tc>
        <w:tc>
          <w:tcPr>
            <w:tcW w:w="1741" w:type="dxa"/>
          </w:tcPr>
          <w:p w14:paraId="270BD5D2" w14:textId="77777777" w:rsidR="00BD3F8C" w:rsidRPr="00857DF2" w:rsidRDefault="00BD3F8C" w:rsidP="00E35E55">
            <w:pPr>
              <w:spacing w:line="480" w:lineRule="auto"/>
            </w:pPr>
            <w:r w:rsidRPr="00857DF2">
              <w:rPr>
                <w:rFonts w:eastAsia="Times New Roman" w:cs="Times New Roman"/>
                <w:sz w:val="19"/>
                <w:szCs w:val="19"/>
              </w:rPr>
              <w:t>156</w:t>
            </w:r>
          </w:p>
        </w:tc>
        <w:tc>
          <w:tcPr>
            <w:tcW w:w="2114" w:type="dxa"/>
          </w:tcPr>
          <w:p w14:paraId="0C1695D6" w14:textId="77777777" w:rsidR="00BD3F8C" w:rsidRPr="00857DF2" w:rsidRDefault="00BD3F8C" w:rsidP="00E35E55">
            <w:pPr>
              <w:spacing w:line="480" w:lineRule="auto"/>
            </w:pPr>
            <w:r w:rsidRPr="00857DF2">
              <w:rPr>
                <w:rFonts w:eastAsia="Times New Roman" w:cs="Times New Roman"/>
                <w:sz w:val="19"/>
                <w:szCs w:val="19"/>
              </w:rPr>
              <w:t>20,792</w:t>
            </w:r>
          </w:p>
        </w:tc>
        <w:tc>
          <w:tcPr>
            <w:tcW w:w="1492" w:type="dxa"/>
          </w:tcPr>
          <w:p w14:paraId="597EDD3A" w14:textId="77777777" w:rsidR="00BD3F8C" w:rsidRPr="00857DF2" w:rsidRDefault="00BD3F8C" w:rsidP="00E35E55">
            <w:pPr>
              <w:spacing w:line="480" w:lineRule="auto"/>
            </w:pPr>
            <w:r w:rsidRPr="00857DF2">
              <w:rPr>
                <w:rFonts w:eastAsia="Times New Roman" w:cs="Times New Roman"/>
                <w:sz w:val="19"/>
                <w:szCs w:val="19"/>
              </w:rPr>
              <w:t>5.07%</w:t>
            </w:r>
          </w:p>
        </w:tc>
      </w:tr>
      <w:tr w:rsidR="00857DF2" w:rsidRPr="00857DF2" w14:paraId="48F870CC" w14:textId="77777777" w:rsidTr="00857DF2">
        <w:trPr>
          <w:trHeight w:val="248"/>
        </w:trPr>
        <w:tc>
          <w:tcPr>
            <w:tcW w:w="2363" w:type="dxa"/>
          </w:tcPr>
          <w:p w14:paraId="753503F6" w14:textId="77777777" w:rsidR="00BD3F8C" w:rsidRPr="00857DF2" w:rsidRDefault="00BD3F8C" w:rsidP="00E35E55">
            <w:pPr>
              <w:spacing w:line="480" w:lineRule="auto"/>
            </w:pPr>
            <w:proofErr w:type="spellStart"/>
            <w:r w:rsidRPr="00857DF2">
              <w:rPr>
                <w:rFonts w:eastAsia="Times New Roman" w:cs="Times New Roman"/>
                <w:sz w:val="19"/>
                <w:szCs w:val="19"/>
              </w:rPr>
              <w:t>Mbumburu</w:t>
            </w:r>
            <w:proofErr w:type="spellEnd"/>
          </w:p>
        </w:tc>
        <w:tc>
          <w:tcPr>
            <w:tcW w:w="995" w:type="dxa"/>
          </w:tcPr>
          <w:p w14:paraId="0DE5E271" w14:textId="77777777" w:rsidR="00BD3F8C" w:rsidRPr="00857DF2" w:rsidRDefault="00BD3F8C" w:rsidP="00E35E55">
            <w:pPr>
              <w:spacing w:line="480" w:lineRule="auto"/>
            </w:pPr>
            <w:r w:rsidRPr="00857DF2">
              <w:rPr>
                <w:rFonts w:eastAsia="Times New Roman" w:cs="Times New Roman"/>
                <w:sz w:val="19"/>
                <w:szCs w:val="19"/>
              </w:rPr>
              <w:t>2015</w:t>
            </w:r>
          </w:p>
        </w:tc>
        <w:tc>
          <w:tcPr>
            <w:tcW w:w="1741" w:type="dxa"/>
          </w:tcPr>
          <w:p w14:paraId="472CB615" w14:textId="77777777" w:rsidR="00BD3F8C" w:rsidRPr="00857DF2" w:rsidRDefault="00BD3F8C" w:rsidP="00E35E55">
            <w:pPr>
              <w:spacing w:line="480" w:lineRule="auto"/>
            </w:pPr>
            <w:r w:rsidRPr="00857DF2">
              <w:rPr>
                <w:rFonts w:eastAsia="Times New Roman" w:cs="Times New Roman"/>
                <w:sz w:val="19"/>
                <w:szCs w:val="19"/>
              </w:rPr>
              <w:t>260</w:t>
            </w:r>
          </w:p>
        </w:tc>
        <w:tc>
          <w:tcPr>
            <w:tcW w:w="2114" w:type="dxa"/>
          </w:tcPr>
          <w:p w14:paraId="195223D7" w14:textId="77777777" w:rsidR="00BD3F8C" w:rsidRPr="00857DF2" w:rsidRDefault="00BD3F8C" w:rsidP="00E35E55">
            <w:pPr>
              <w:spacing w:line="480" w:lineRule="auto"/>
            </w:pPr>
            <w:r w:rsidRPr="00857DF2">
              <w:rPr>
                <w:rFonts w:eastAsia="Times New Roman" w:cs="Times New Roman"/>
                <w:sz w:val="19"/>
                <w:szCs w:val="19"/>
              </w:rPr>
              <w:t>30,373</w:t>
            </w:r>
          </w:p>
        </w:tc>
        <w:tc>
          <w:tcPr>
            <w:tcW w:w="1492" w:type="dxa"/>
          </w:tcPr>
          <w:p w14:paraId="7F35AB45" w14:textId="77777777" w:rsidR="00BD3F8C" w:rsidRPr="00857DF2" w:rsidRDefault="00BD3F8C" w:rsidP="00E35E55">
            <w:pPr>
              <w:spacing w:line="480" w:lineRule="auto"/>
            </w:pPr>
            <w:r w:rsidRPr="00857DF2">
              <w:rPr>
                <w:rFonts w:eastAsia="Times New Roman" w:cs="Times New Roman"/>
                <w:sz w:val="19"/>
                <w:szCs w:val="19"/>
              </w:rPr>
              <w:t>7.41%</w:t>
            </w:r>
          </w:p>
        </w:tc>
      </w:tr>
      <w:tr w:rsidR="00857DF2" w:rsidRPr="00857DF2" w14:paraId="188216EF" w14:textId="77777777" w:rsidTr="00857DF2">
        <w:trPr>
          <w:trHeight w:val="248"/>
        </w:trPr>
        <w:tc>
          <w:tcPr>
            <w:tcW w:w="2363" w:type="dxa"/>
          </w:tcPr>
          <w:p w14:paraId="7E0C3053" w14:textId="77777777" w:rsidR="00BD3F8C" w:rsidRPr="00857DF2" w:rsidRDefault="00BD3F8C" w:rsidP="00E35E55">
            <w:pPr>
              <w:spacing w:line="480" w:lineRule="auto"/>
            </w:pPr>
            <w:proofErr w:type="spellStart"/>
            <w:r w:rsidRPr="00857DF2">
              <w:rPr>
                <w:rFonts w:eastAsia="Times New Roman" w:cs="Times New Roman"/>
                <w:sz w:val="19"/>
                <w:szCs w:val="19"/>
              </w:rPr>
              <w:lastRenderedPageBreak/>
              <w:t>Mbumburu</w:t>
            </w:r>
            <w:proofErr w:type="spellEnd"/>
          </w:p>
        </w:tc>
        <w:tc>
          <w:tcPr>
            <w:tcW w:w="995" w:type="dxa"/>
          </w:tcPr>
          <w:p w14:paraId="34A6E7C6" w14:textId="77777777" w:rsidR="00BD3F8C" w:rsidRPr="00857DF2" w:rsidRDefault="00BD3F8C" w:rsidP="00E35E55">
            <w:pPr>
              <w:spacing w:line="480" w:lineRule="auto"/>
            </w:pPr>
            <w:r w:rsidRPr="00857DF2">
              <w:rPr>
                <w:rFonts w:eastAsia="Times New Roman" w:cs="Times New Roman"/>
                <w:sz w:val="19"/>
                <w:szCs w:val="19"/>
              </w:rPr>
              <w:t>2025</w:t>
            </w:r>
          </w:p>
        </w:tc>
        <w:tc>
          <w:tcPr>
            <w:tcW w:w="1741" w:type="dxa"/>
          </w:tcPr>
          <w:p w14:paraId="02166815" w14:textId="77777777" w:rsidR="00BD3F8C" w:rsidRPr="00857DF2" w:rsidRDefault="00BD3F8C" w:rsidP="00E35E55">
            <w:pPr>
              <w:spacing w:line="480" w:lineRule="auto"/>
            </w:pPr>
            <w:r w:rsidRPr="00857DF2">
              <w:rPr>
                <w:rFonts w:eastAsia="Times New Roman" w:cs="Times New Roman"/>
                <w:sz w:val="19"/>
                <w:szCs w:val="19"/>
              </w:rPr>
              <w:t>348</w:t>
            </w:r>
          </w:p>
        </w:tc>
        <w:tc>
          <w:tcPr>
            <w:tcW w:w="2114" w:type="dxa"/>
          </w:tcPr>
          <w:p w14:paraId="30A3963E" w14:textId="77777777" w:rsidR="00BD3F8C" w:rsidRPr="00857DF2" w:rsidRDefault="00BD3F8C" w:rsidP="00E35E55">
            <w:pPr>
              <w:spacing w:line="480" w:lineRule="auto"/>
            </w:pPr>
            <w:r w:rsidRPr="00857DF2">
              <w:rPr>
                <w:rFonts w:eastAsia="Times New Roman" w:cs="Times New Roman"/>
                <w:sz w:val="19"/>
                <w:szCs w:val="19"/>
              </w:rPr>
              <w:t>40,065</w:t>
            </w:r>
          </w:p>
        </w:tc>
        <w:tc>
          <w:tcPr>
            <w:tcW w:w="1492" w:type="dxa"/>
          </w:tcPr>
          <w:p w14:paraId="0EC78D3D" w14:textId="77777777" w:rsidR="00BD3F8C" w:rsidRPr="00857DF2" w:rsidRDefault="00BD3F8C" w:rsidP="00E35E55">
            <w:pPr>
              <w:spacing w:line="480" w:lineRule="auto"/>
            </w:pPr>
            <w:r w:rsidRPr="00857DF2">
              <w:rPr>
                <w:rFonts w:eastAsia="Times New Roman" w:cs="Times New Roman"/>
                <w:sz w:val="19"/>
                <w:szCs w:val="19"/>
              </w:rPr>
              <w:t>9.78%</w:t>
            </w:r>
          </w:p>
        </w:tc>
      </w:tr>
    </w:tbl>
    <w:p w14:paraId="51B68406" w14:textId="6733EE52" w:rsidR="00BD3F8C" w:rsidRDefault="00BD3F8C" w:rsidP="00E35E55">
      <w:pPr>
        <w:spacing w:before="80" w:after="80"/>
      </w:pPr>
    </w:p>
    <w:p w14:paraId="13BDFEE0" w14:textId="77777777" w:rsidR="00857DF2" w:rsidRDefault="00857DF2" w:rsidP="00E35E55">
      <w:pPr>
        <w:spacing w:after="120"/>
        <w:ind w:firstLine="720"/>
      </w:pPr>
      <w:r>
        <w:rPr>
          <w:rFonts w:eastAsia="Times New Roman" w:cs="Times New Roman"/>
          <w:color w:val="1A1A1A"/>
          <w:sz w:val="22"/>
          <w:szCs w:val="22"/>
        </w:rPr>
        <w:t>Both</w:t>
      </w:r>
      <w:r w:rsidR="00BD3F8C">
        <w:rPr>
          <w:rFonts w:eastAsia="Times New Roman" w:cs="Times New Roman"/>
          <w:color w:val="1A1A1A"/>
          <w:sz w:val="22"/>
          <w:szCs w:val="22"/>
        </w:rPr>
        <w:t xml:space="preserve"> Solomon Islands sites </w:t>
      </w:r>
      <w:proofErr w:type="gramStart"/>
      <w:r w:rsidR="00BD3F8C">
        <w:rPr>
          <w:rFonts w:eastAsia="Times New Roman" w:cs="Times New Roman"/>
          <w:color w:val="1A1A1A"/>
          <w:sz w:val="22"/>
          <w:szCs w:val="22"/>
        </w:rPr>
        <w:t>shows</w:t>
      </w:r>
      <w:proofErr w:type="gramEnd"/>
      <w:r w:rsidR="00BD3F8C">
        <w:rPr>
          <w:rFonts w:eastAsia="Times New Roman" w:cs="Times New Roman"/>
          <w:color w:val="1A1A1A"/>
          <w:sz w:val="22"/>
          <w:szCs w:val="22"/>
        </w:rPr>
        <w:t xml:space="preserve"> consistent and monotonically increasing trajectories across all three epochs. At White River, coverage increased from 5.67% in 2006 to 12.95% in </w:t>
      </w:r>
      <w:proofErr w:type="gramStart"/>
      <w:r w:rsidR="00BD3F8C">
        <w:rPr>
          <w:rFonts w:eastAsia="Times New Roman" w:cs="Times New Roman"/>
          <w:color w:val="1A1A1A"/>
          <w:sz w:val="22"/>
          <w:szCs w:val="22"/>
        </w:rPr>
        <w:t>2025</w:t>
      </w:r>
      <w:proofErr w:type="gramEnd"/>
      <w:r>
        <w:rPr>
          <w:rFonts w:eastAsia="Times New Roman" w:cs="Times New Roman"/>
          <w:color w:val="1A1A1A"/>
          <w:sz w:val="22"/>
          <w:szCs w:val="22"/>
        </w:rPr>
        <w:t xml:space="preserve"> which is</w:t>
      </w:r>
      <w:r w:rsidR="00BD3F8C">
        <w:rPr>
          <w:rFonts w:eastAsia="Times New Roman" w:cs="Times New Roman"/>
          <w:color w:val="1A1A1A"/>
          <w:sz w:val="22"/>
          <w:szCs w:val="22"/>
        </w:rPr>
        <w:t xml:space="preserve"> a 7.28 percentage point increase over the study period. At </w:t>
      </w:r>
      <w:proofErr w:type="spellStart"/>
      <w:r w:rsidR="00BD3F8C">
        <w:rPr>
          <w:rFonts w:eastAsia="Times New Roman" w:cs="Times New Roman"/>
          <w:color w:val="1A1A1A"/>
          <w:sz w:val="22"/>
          <w:szCs w:val="22"/>
        </w:rPr>
        <w:t>Mbumburu</w:t>
      </w:r>
      <w:proofErr w:type="spellEnd"/>
      <w:r w:rsidR="00BD3F8C">
        <w:rPr>
          <w:rFonts w:eastAsia="Times New Roman" w:cs="Times New Roman"/>
          <w:color w:val="1A1A1A"/>
          <w:sz w:val="22"/>
          <w:szCs w:val="22"/>
        </w:rPr>
        <w:t xml:space="preserve">, coverage rose from 5.07% to 9.78% between 2006 and 2025. </w:t>
      </w:r>
    </w:p>
    <w:p w14:paraId="0555040D" w14:textId="08D136CD" w:rsidR="00BD3F8C" w:rsidRDefault="00BD3F8C" w:rsidP="00E35E55">
      <w:pPr>
        <w:spacing w:after="120"/>
        <w:ind w:firstLine="720"/>
      </w:pPr>
      <w:r>
        <w:rPr>
          <w:rFonts w:eastAsia="Times New Roman" w:cs="Times New Roman"/>
          <w:color w:val="1A1A1A"/>
          <w:sz w:val="22"/>
          <w:szCs w:val="22"/>
        </w:rPr>
        <w:t>The total building footprint area at White River grew from approximately 26,986 m² in 2006 to 61,609 m² by 2025</w:t>
      </w:r>
      <w:r w:rsidR="00857DF2">
        <w:rPr>
          <w:rFonts w:eastAsia="Times New Roman" w:cs="Times New Roman"/>
          <w:color w:val="1A1A1A"/>
          <w:sz w:val="22"/>
          <w:szCs w:val="22"/>
        </w:rPr>
        <w:t xml:space="preserve">, which is </w:t>
      </w:r>
      <w:r>
        <w:rPr>
          <w:rFonts w:eastAsia="Times New Roman" w:cs="Times New Roman"/>
          <w:color w:val="1A1A1A"/>
          <w:sz w:val="22"/>
          <w:szCs w:val="22"/>
        </w:rPr>
        <w:t xml:space="preserve">an increase of 128 percent. At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total covered area grew from 20,792 m² to 40,065 m² over the same period, representing a 93 percent increase. These figures reflect not only the addition of new structures but also gradual increases in the mean footprint size at White River between 2015 and 2025</w:t>
      </w:r>
      <w:r w:rsidR="00C93E55">
        <w:rPr>
          <w:rFonts w:eastAsia="Times New Roman" w:cs="Times New Roman"/>
          <w:color w:val="1A1A1A"/>
          <w:sz w:val="22"/>
          <w:szCs w:val="22"/>
        </w:rPr>
        <w:t>.</w:t>
      </w:r>
    </w:p>
    <w:p w14:paraId="29892524" w14:textId="77777777" w:rsidR="00BD3F8C" w:rsidRDefault="00BD3F8C" w:rsidP="00E35E55">
      <w:pPr>
        <w:spacing w:after="80"/>
      </w:pPr>
    </w:p>
    <w:p w14:paraId="0D629552" w14:textId="77777777" w:rsidR="00BD3F8C" w:rsidRDefault="00BD3F8C" w:rsidP="00E35E55">
      <w:pPr>
        <w:spacing w:after="60"/>
        <w:jc w:val="center"/>
      </w:pPr>
      <w:r>
        <w:rPr>
          <w:noProof/>
        </w:rPr>
        <w:drawing>
          <wp:inline distT="0" distB="0" distL="0" distR="0" wp14:anchorId="1FE15434" wp14:editId="2526510B">
            <wp:extent cx="5925787" cy="2828925"/>
            <wp:effectExtent l="0" t="0" r="0" b="0"/>
            <wp:docPr id="994170499" name="Picture 99417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5929031" cy="2830474"/>
                    </a:xfrm>
                    <a:prstGeom prst="rect">
                      <a:avLst/>
                    </a:prstGeom>
                  </pic:spPr>
                </pic:pic>
              </a:graphicData>
            </a:graphic>
          </wp:inline>
        </w:drawing>
      </w:r>
    </w:p>
    <w:p w14:paraId="1A0729F5" w14:textId="2C594BA3" w:rsidR="00BD3F8C" w:rsidRDefault="00365D4D" w:rsidP="00365D4D">
      <w:pPr>
        <w:pStyle w:val="Caption"/>
      </w:pPr>
      <w:bookmarkStart w:id="86" w:name="_Ref227677253"/>
      <w:bookmarkStart w:id="87" w:name="_Toc227691724"/>
      <w:r>
        <w:t xml:space="preserve">Figure </w:t>
      </w:r>
      <w:r>
        <w:fldChar w:fldCharType="begin"/>
      </w:r>
      <w:r>
        <w:instrText xml:space="preserve"> SEQ Figure \* ARABIC </w:instrText>
      </w:r>
      <w:r>
        <w:fldChar w:fldCharType="separate"/>
      </w:r>
      <w:r w:rsidR="00EB6CD8">
        <w:rPr>
          <w:noProof/>
        </w:rPr>
        <w:t>14</w:t>
      </w:r>
      <w:r>
        <w:fldChar w:fldCharType="end"/>
      </w:r>
      <w:bookmarkEnd w:id="86"/>
      <w:r>
        <w:t xml:space="preserve">. </w:t>
      </w:r>
      <w:r w:rsidRPr="00B64EE3">
        <w:t>Built-up coverage ratio (%) for both Solomon Islands study sites by survey epoch.</w:t>
      </w:r>
      <w:bookmarkEnd w:id="87"/>
    </w:p>
    <w:p w14:paraId="1CEBAFBC" w14:textId="77777777" w:rsidR="00F26266" w:rsidRDefault="00F26266" w:rsidP="00E35E55">
      <w:pPr>
        <w:spacing w:after="0"/>
        <w:rPr>
          <w:rFonts w:ascii="Arial" w:hAnsi="Arial" w:cs="Arial"/>
          <w:i/>
          <w:iCs/>
          <w:sz w:val="22"/>
          <w:szCs w:val="22"/>
        </w:rPr>
      </w:pPr>
    </w:p>
    <w:p w14:paraId="5EC265C8" w14:textId="25BB48FC" w:rsidR="00D64FAD" w:rsidRDefault="00D64FAD" w:rsidP="00E35E55">
      <w:pPr>
        <w:spacing w:after="0"/>
        <w:rPr>
          <w:rFonts w:ascii="Arial" w:hAnsi="Arial" w:cs="Arial"/>
          <w:i/>
          <w:iCs/>
          <w:sz w:val="22"/>
          <w:szCs w:val="22"/>
        </w:rPr>
      </w:pPr>
      <w:r w:rsidRPr="00AF38F0">
        <w:rPr>
          <w:rFonts w:ascii="Arial" w:hAnsi="Arial" w:cs="Arial"/>
          <w:i/>
          <w:iCs/>
          <w:sz w:val="22"/>
          <w:szCs w:val="22"/>
        </w:rPr>
        <w:t>Median Building Size</w:t>
      </w:r>
    </w:p>
    <w:p w14:paraId="06E81E45" w14:textId="65EEC627" w:rsidR="00223414" w:rsidRDefault="00223414" w:rsidP="00E35E55">
      <w:pPr>
        <w:spacing w:after="120"/>
      </w:pPr>
      <w:r>
        <w:rPr>
          <w:rFonts w:eastAsia="Times New Roman" w:cs="Times New Roman"/>
          <w:color w:val="1A1A1A"/>
          <w:sz w:val="22"/>
          <w:szCs w:val="22"/>
        </w:rPr>
        <w:lastRenderedPageBreak/>
        <w:t xml:space="preserve">Median building footprint area provides insight into building typology and how it evolves over time. </w:t>
      </w:r>
      <w:r w:rsidR="00F26266">
        <w:rPr>
          <w:rFonts w:eastAsia="Times New Roman" w:cs="Times New Roman"/>
          <w:color w:val="1A1A1A"/>
          <w:sz w:val="22"/>
          <w:szCs w:val="22"/>
        </w:rPr>
        <w:fldChar w:fldCharType="begin"/>
      </w:r>
      <w:r w:rsidR="00F26266">
        <w:rPr>
          <w:rFonts w:eastAsia="Times New Roman" w:cs="Times New Roman"/>
          <w:color w:val="1A1A1A"/>
          <w:sz w:val="22"/>
          <w:szCs w:val="22"/>
        </w:rPr>
        <w:instrText xml:space="preserve"> REF _Ref227677196 \h </w:instrText>
      </w:r>
      <w:r w:rsidR="00F26266">
        <w:rPr>
          <w:rFonts w:eastAsia="Times New Roman" w:cs="Times New Roman"/>
          <w:color w:val="1A1A1A"/>
          <w:sz w:val="22"/>
          <w:szCs w:val="22"/>
        </w:rPr>
      </w:r>
      <w:r w:rsidR="00F26266">
        <w:rPr>
          <w:rFonts w:eastAsia="Times New Roman" w:cs="Times New Roman"/>
          <w:color w:val="1A1A1A"/>
          <w:sz w:val="22"/>
          <w:szCs w:val="22"/>
        </w:rPr>
        <w:fldChar w:fldCharType="separate"/>
      </w:r>
      <w:r w:rsidR="00F26266">
        <w:t xml:space="preserve">Figure </w:t>
      </w:r>
      <w:r w:rsidR="00F26266">
        <w:rPr>
          <w:noProof/>
        </w:rPr>
        <w:t>15</w:t>
      </w:r>
      <w:r w:rsidR="00F26266">
        <w:rPr>
          <w:rFonts w:eastAsia="Times New Roman" w:cs="Times New Roman"/>
          <w:color w:val="1A1A1A"/>
          <w:sz w:val="22"/>
          <w:szCs w:val="22"/>
        </w:rPr>
        <w:fldChar w:fldCharType="end"/>
      </w:r>
      <w:r>
        <w:rPr>
          <w:rFonts w:eastAsia="Times New Roman" w:cs="Times New Roman"/>
          <w:color w:val="1A1A1A"/>
          <w:sz w:val="22"/>
          <w:szCs w:val="22"/>
        </w:rPr>
        <w:t xml:space="preserve"> presents median building size alongside building count for both sites.</w:t>
      </w:r>
    </w:p>
    <w:p w14:paraId="7081F645" w14:textId="596D4862" w:rsidR="00CD1B0F" w:rsidRDefault="00CD1B0F" w:rsidP="00CD1B0F">
      <w:pPr>
        <w:pStyle w:val="Caption"/>
      </w:pPr>
      <w:bookmarkStart w:id="88" w:name="_Toc228285973"/>
      <w:r>
        <w:t xml:space="preserve">Table </w:t>
      </w:r>
      <w:r>
        <w:fldChar w:fldCharType="begin"/>
      </w:r>
      <w:r>
        <w:instrText xml:space="preserve"> SEQ Table \* ARABIC </w:instrText>
      </w:r>
      <w:r>
        <w:fldChar w:fldCharType="separate"/>
      </w:r>
      <w:r w:rsidR="00C93E55">
        <w:rPr>
          <w:noProof/>
        </w:rPr>
        <w:t>7</w:t>
      </w:r>
      <w:r>
        <w:fldChar w:fldCharType="end"/>
      </w:r>
      <w:r>
        <w:t xml:space="preserve">. </w:t>
      </w:r>
      <w:r w:rsidRPr="00A22DED">
        <w:t>Building footprint size statistics by epoch for Solomon Islands study sites</w:t>
      </w:r>
      <w:bookmarkEnd w:id="88"/>
    </w:p>
    <w:tbl>
      <w:tblPr>
        <w:tblStyle w:val="TableGrid"/>
        <w:tblW w:w="8000" w:type="dxa"/>
        <w:tblLook w:val="04A0" w:firstRow="1" w:lastRow="0" w:firstColumn="1" w:lastColumn="0" w:noHBand="0" w:noVBand="1"/>
      </w:tblPr>
      <w:tblGrid>
        <w:gridCol w:w="1800"/>
        <w:gridCol w:w="800"/>
        <w:gridCol w:w="1600"/>
        <w:gridCol w:w="1600"/>
        <w:gridCol w:w="900"/>
        <w:gridCol w:w="1300"/>
      </w:tblGrid>
      <w:tr w:rsidR="00223414" w:rsidRPr="00223414" w14:paraId="07DA9C95" w14:textId="77777777" w:rsidTr="00223414">
        <w:tc>
          <w:tcPr>
            <w:tcW w:w="1800" w:type="dxa"/>
          </w:tcPr>
          <w:p w14:paraId="0A8FD41A" w14:textId="77777777" w:rsidR="00223414" w:rsidRPr="00223414" w:rsidRDefault="00223414" w:rsidP="00E35E55">
            <w:pPr>
              <w:spacing w:line="480" w:lineRule="auto"/>
              <w:jc w:val="center"/>
            </w:pPr>
            <w:r w:rsidRPr="00223414">
              <w:rPr>
                <w:rFonts w:ascii="Arial" w:eastAsia="Arial" w:hAnsi="Arial" w:cs="Arial"/>
                <w:b/>
                <w:bCs/>
                <w:sz w:val="19"/>
                <w:szCs w:val="19"/>
              </w:rPr>
              <w:t>Site</w:t>
            </w:r>
          </w:p>
        </w:tc>
        <w:tc>
          <w:tcPr>
            <w:tcW w:w="800" w:type="dxa"/>
          </w:tcPr>
          <w:p w14:paraId="4AC8A743" w14:textId="77777777" w:rsidR="00223414" w:rsidRPr="00223414" w:rsidRDefault="00223414" w:rsidP="00E35E55">
            <w:pPr>
              <w:spacing w:line="480" w:lineRule="auto"/>
              <w:jc w:val="center"/>
            </w:pPr>
            <w:r w:rsidRPr="00223414">
              <w:rPr>
                <w:rFonts w:ascii="Arial" w:eastAsia="Arial" w:hAnsi="Arial" w:cs="Arial"/>
                <w:b/>
                <w:bCs/>
                <w:sz w:val="19"/>
                <w:szCs w:val="19"/>
              </w:rPr>
              <w:t>Year</w:t>
            </w:r>
          </w:p>
        </w:tc>
        <w:tc>
          <w:tcPr>
            <w:tcW w:w="1600" w:type="dxa"/>
          </w:tcPr>
          <w:p w14:paraId="0EC58990" w14:textId="77777777" w:rsidR="00223414" w:rsidRPr="00223414" w:rsidRDefault="00223414" w:rsidP="00E35E55">
            <w:pPr>
              <w:spacing w:line="480" w:lineRule="auto"/>
              <w:jc w:val="center"/>
            </w:pPr>
            <w:r w:rsidRPr="00223414">
              <w:rPr>
                <w:rFonts w:ascii="Arial" w:eastAsia="Arial" w:hAnsi="Arial" w:cs="Arial"/>
                <w:b/>
                <w:bCs/>
                <w:sz w:val="19"/>
                <w:szCs w:val="19"/>
              </w:rPr>
              <w:t xml:space="preserve">Median </w:t>
            </w:r>
            <w:proofErr w:type="spellStart"/>
            <w:r w:rsidRPr="00223414">
              <w:rPr>
                <w:rFonts w:ascii="Arial" w:eastAsia="Arial" w:hAnsi="Arial" w:cs="Arial"/>
                <w:b/>
                <w:bCs/>
                <w:sz w:val="19"/>
                <w:szCs w:val="19"/>
              </w:rPr>
              <w:t>Bldg</w:t>
            </w:r>
            <w:proofErr w:type="spellEnd"/>
            <w:r w:rsidRPr="00223414">
              <w:rPr>
                <w:rFonts w:ascii="Arial" w:eastAsia="Arial" w:hAnsi="Arial" w:cs="Arial"/>
                <w:b/>
                <w:bCs/>
                <w:sz w:val="19"/>
                <w:szCs w:val="19"/>
              </w:rPr>
              <w:t xml:space="preserve"> (m²)</w:t>
            </w:r>
          </w:p>
        </w:tc>
        <w:tc>
          <w:tcPr>
            <w:tcW w:w="1600" w:type="dxa"/>
          </w:tcPr>
          <w:p w14:paraId="4B3B1315" w14:textId="77777777" w:rsidR="00223414" w:rsidRPr="00223414" w:rsidRDefault="00223414" w:rsidP="00E35E55">
            <w:pPr>
              <w:spacing w:line="480" w:lineRule="auto"/>
              <w:jc w:val="center"/>
            </w:pPr>
            <w:r w:rsidRPr="00223414">
              <w:rPr>
                <w:rFonts w:ascii="Arial" w:eastAsia="Arial" w:hAnsi="Arial" w:cs="Arial"/>
                <w:b/>
                <w:bCs/>
                <w:sz w:val="19"/>
                <w:szCs w:val="19"/>
              </w:rPr>
              <w:t xml:space="preserve">Mean </w:t>
            </w:r>
            <w:proofErr w:type="spellStart"/>
            <w:r w:rsidRPr="00223414">
              <w:rPr>
                <w:rFonts w:ascii="Arial" w:eastAsia="Arial" w:hAnsi="Arial" w:cs="Arial"/>
                <w:b/>
                <w:bCs/>
                <w:sz w:val="19"/>
                <w:szCs w:val="19"/>
              </w:rPr>
              <w:t>Bldg</w:t>
            </w:r>
            <w:proofErr w:type="spellEnd"/>
            <w:r w:rsidRPr="00223414">
              <w:rPr>
                <w:rFonts w:ascii="Arial" w:eastAsia="Arial" w:hAnsi="Arial" w:cs="Arial"/>
                <w:b/>
                <w:bCs/>
                <w:sz w:val="19"/>
                <w:szCs w:val="19"/>
              </w:rPr>
              <w:t xml:space="preserve"> (m²)</w:t>
            </w:r>
          </w:p>
        </w:tc>
        <w:tc>
          <w:tcPr>
            <w:tcW w:w="900" w:type="dxa"/>
          </w:tcPr>
          <w:p w14:paraId="3457E831" w14:textId="77777777" w:rsidR="00223414" w:rsidRPr="00223414" w:rsidRDefault="00223414" w:rsidP="00E35E55">
            <w:pPr>
              <w:spacing w:line="480" w:lineRule="auto"/>
              <w:jc w:val="center"/>
            </w:pPr>
            <w:r w:rsidRPr="00223414">
              <w:rPr>
                <w:rFonts w:ascii="Arial" w:eastAsia="Arial" w:hAnsi="Arial" w:cs="Arial"/>
                <w:b/>
                <w:bCs/>
                <w:sz w:val="19"/>
                <w:szCs w:val="19"/>
              </w:rPr>
              <w:t>Min (m²)</w:t>
            </w:r>
          </w:p>
        </w:tc>
        <w:tc>
          <w:tcPr>
            <w:tcW w:w="1300" w:type="dxa"/>
          </w:tcPr>
          <w:p w14:paraId="2B73784B" w14:textId="77777777" w:rsidR="00223414" w:rsidRPr="00223414" w:rsidRDefault="00223414" w:rsidP="00E35E55">
            <w:pPr>
              <w:spacing w:line="480" w:lineRule="auto"/>
              <w:jc w:val="center"/>
            </w:pPr>
            <w:r w:rsidRPr="00223414">
              <w:rPr>
                <w:rFonts w:ascii="Arial" w:eastAsia="Arial" w:hAnsi="Arial" w:cs="Arial"/>
                <w:b/>
                <w:bCs/>
                <w:sz w:val="19"/>
                <w:szCs w:val="19"/>
              </w:rPr>
              <w:t>Max (m²)</w:t>
            </w:r>
          </w:p>
        </w:tc>
      </w:tr>
      <w:tr w:rsidR="00223414" w:rsidRPr="00223414" w14:paraId="1FC87C5B" w14:textId="77777777" w:rsidTr="00223414">
        <w:tc>
          <w:tcPr>
            <w:tcW w:w="1800" w:type="dxa"/>
          </w:tcPr>
          <w:p w14:paraId="68B5B09B" w14:textId="77777777" w:rsidR="00223414" w:rsidRPr="00223414" w:rsidRDefault="00223414" w:rsidP="00E35E55">
            <w:pPr>
              <w:spacing w:line="480" w:lineRule="auto"/>
            </w:pPr>
            <w:r w:rsidRPr="00223414">
              <w:rPr>
                <w:rFonts w:eastAsia="Times New Roman" w:cs="Times New Roman"/>
                <w:sz w:val="19"/>
                <w:szCs w:val="19"/>
              </w:rPr>
              <w:t>White River</w:t>
            </w:r>
          </w:p>
        </w:tc>
        <w:tc>
          <w:tcPr>
            <w:tcW w:w="800" w:type="dxa"/>
          </w:tcPr>
          <w:p w14:paraId="1D451828" w14:textId="77777777" w:rsidR="00223414" w:rsidRPr="00223414" w:rsidRDefault="00223414" w:rsidP="00E35E55">
            <w:pPr>
              <w:spacing w:line="480" w:lineRule="auto"/>
            </w:pPr>
            <w:r w:rsidRPr="00223414">
              <w:rPr>
                <w:rFonts w:eastAsia="Times New Roman" w:cs="Times New Roman"/>
                <w:sz w:val="19"/>
                <w:szCs w:val="19"/>
              </w:rPr>
              <w:t>2006</w:t>
            </w:r>
          </w:p>
        </w:tc>
        <w:tc>
          <w:tcPr>
            <w:tcW w:w="1600" w:type="dxa"/>
          </w:tcPr>
          <w:p w14:paraId="7EBC74F1" w14:textId="77777777" w:rsidR="00223414" w:rsidRPr="00223414" w:rsidRDefault="00223414" w:rsidP="00E35E55">
            <w:pPr>
              <w:spacing w:line="480" w:lineRule="auto"/>
            </w:pPr>
            <w:r w:rsidRPr="00223414">
              <w:rPr>
                <w:rFonts w:eastAsia="Times New Roman" w:cs="Times New Roman"/>
                <w:sz w:val="19"/>
                <w:szCs w:val="19"/>
              </w:rPr>
              <w:t>74.51</w:t>
            </w:r>
          </w:p>
        </w:tc>
        <w:tc>
          <w:tcPr>
            <w:tcW w:w="1600" w:type="dxa"/>
          </w:tcPr>
          <w:p w14:paraId="1EDF4D85" w14:textId="77777777" w:rsidR="00223414" w:rsidRPr="00223414" w:rsidRDefault="00223414" w:rsidP="00E35E55">
            <w:pPr>
              <w:spacing w:line="480" w:lineRule="auto"/>
            </w:pPr>
            <w:r w:rsidRPr="00223414">
              <w:rPr>
                <w:rFonts w:eastAsia="Times New Roman" w:cs="Times New Roman"/>
                <w:sz w:val="19"/>
                <w:szCs w:val="19"/>
              </w:rPr>
              <w:t>96.38</w:t>
            </w:r>
          </w:p>
        </w:tc>
        <w:tc>
          <w:tcPr>
            <w:tcW w:w="900" w:type="dxa"/>
          </w:tcPr>
          <w:p w14:paraId="77ADA67A" w14:textId="77777777" w:rsidR="00223414" w:rsidRPr="00223414" w:rsidRDefault="00223414" w:rsidP="00E35E55">
            <w:pPr>
              <w:spacing w:line="480" w:lineRule="auto"/>
            </w:pPr>
            <w:r w:rsidRPr="00223414">
              <w:rPr>
                <w:rFonts w:eastAsia="Times New Roman" w:cs="Times New Roman"/>
                <w:sz w:val="19"/>
                <w:szCs w:val="19"/>
              </w:rPr>
              <w:t>0.49</w:t>
            </w:r>
          </w:p>
        </w:tc>
        <w:tc>
          <w:tcPr>
            <w:tcW w:w="1300" w:type="dxa"/>
          </w:tcPr>
          <w:p w14:paraId="5BD89B3E" w14:textId="77777777" w:rsidR="00223414" w:rsidRPr="00223414" w:rsidRDefault="00223414" w:rsidP="00E35E55">
            <w:pPr>
              <w:spacing w:line="480" w:lineRule="auto"/>
            </w:pPr>
            <w:r w:rsidRPr="00223414">
              <w:rPr>
                <w:rFonts w:eastAsia="Times New Roman" w:cs="Times New Roman"/>
                <w:sz w:val="19"/>
                <w:szCs w:val="19"/>
              </w:rPr>
              <w:t>509.92</w:t>
            </w:r>
          </w:p>
        </w:tc>
      </w:tr>
      <w:tr w:rsidR="00223414" w:rsidRPr="00223414" w14:paraId="13D465E3" w14:textId="77777777" w:rsidTr="00223414">
        <w:tc>
          <w:tcPr>
            <w:tcW w:w="1800" w:type="dxa"/>
          </w:tcPr>
          <w:p w14:paraId="695778F0" w14:textId="77777777" w:rsidR="00223414" w:rsidRPr="00223414" w:rsidRDefault="00223414" w:rsidP="00E35E55">
            <w:pPr>
              <w:spacing w:line="480" w:lineRule="auto"/>
            </w:pPr>
            <w:r w:rsidRPr="00223414">
              <w:rPr>
                <w:rFonts w:eastAsia="Times New Roman" w:cs="Times New Roman"/>
                <w:sz w:val="19"/>
                <w:szCs w:val="19"/>
              </w:rPr>
              <w:t>White River</w:t>
            </w:r>
          </w:p>
        </w:tc>
        <w:tc>
          <w:tcPr>
            <w:tcW w:w="800" w:type="dxa"/>
          </w:tcPr>
          <w:p w14:paraId="5BC76CC6" w14:textId="77777777" w:rsidR="00223414" w:rsidRPr="00223414" w:rsidRDefault="00223414" w:rsidP="00E35E55">
            <w:pPr>
              <w:spacing w:line="480" w:lineRule="auto"/>
            </w:pPr>
            <w:r w:rsidRPr="00223414">
              <w:rPr>
                <w:rFonts w:eastAsia="Times New Roman" w:cs="Times New Roman"/>
                <w:sz w:val="19"/>
                <w:szCs w:val="19"/>
              </w:rPr>
              <w:t>2015</w:t>
            </w:r>
          </w:p>
        </w:tc>
        <w:tc>
          <w:tcPr>
            <w:tcW w:w="1600" w:type="dxa"/>
          </w:tcPr>
          <w:p w14:paraId="0CA4BCC1" w14:textId="77777777" w:rsidR="00223414" w:rsidRPr="00223414" w:rsidRDefault="00223414" w:rsidP="00E35E55">
            <w:pPr>
              <w:spacing w:line="480" w:lineRule="auto"/>
            </w:pPr>
            <w:r w:rsidRPr="00223414">
              <w:rPr>
                <w:rFonts w:eastAsia="Times New Roman" w:cs="Times New Roman"/>
                <w:sz w:val="19"/>
                <w:szCs w:val="19"/>
              </w:rPr>
              <w:t>70.96</w:t>
            </w:r>
          </w:p>
        </w:tc>
        <w:tc>
          <w:tcPr>
            <w:tcW w:w="1600" w:type="dxa"/>
          </w:tcPr>
          <w:p w14:paraId="26E9DCE8" w14:textId="77777777" w:rsidR="00223414" w:rsidRPr="00223414" w:rsidRDefault="00223414" w:rsidP="00E35E55">
            <w:pPr>
              <w:spacing w:line="480" w:lineRule="auto"/>
            </w:pPr>
            <w:r w:rsidRPr="00223414">
              <w:rPr>
                <w:rFonts w:eastAsia="Times New Roman" w:cs="Times New Roman"/>
                <w:sz w:val="19"/>
                <w:szCs w:val="19"/>
              </w:rPr>
              <w:t>89.72</w:t>
            </w:r>
          </w:p>
        </w:tc>
        <w:tc>
          <w:tcPr>
            <w:tcW w:w="900" w:type="dxa"/>
          </w:tcPr>
          <w:p w14:paraId="74CC6ADF" w14:textId="77777777" w:rsidR="00223414" w:rsidRPr="00223414" w:rsidRDefault="00223414" w:rsidP="00E35E55">
            <w:pPr>
              <w:spacing w:line="480" w:lineRule="auto"/>
            </w:pPr>
            <w:r w:rsidRPr="00223414">
              <w:rPr>
                <w:rFonts w:eastAsia="Times New Roman" w:cs="Times New Roman"/>
                <w:sz w:val="19"/>
                <w:szCs w:val="19"/>
              </w:rPr>
              <w:t>3.45</w:t>
            </w:r>
          </w:p>
        </w:tc>
        <w:tc>
          <w:tcPr>
            <w:tcW w:w="1300" w:type="dxa"/>
          </w:tcPr>
          <w:p w14:paraId="612CEEDC" w14:textId="77777777" w:rsidR="00223414" w:rsidRPr="00223414" w:rsidRDefault="00223414" w:rsidP="00E35E55">
            <w:pPr>
              <w:spacing w:line="480" w:lineRule="auto"/>
            </w:pPr>
            <w:r w:rsidRPr="00223414">
              <w:rPr>
                <w:rFonts w:eastAsia="Times New Roman" w:cs="Times New Roman"/>
                <w:sz w:val="19"/>
                <w:szCs w:val="19"/>
              </w:rPr>
              <w:t>556.74</w:t>
            </w:r>
          </w:p>
        </w:tc>
      </w:tr>
      <w:tr w:rsidR="00223414" w:rsidRPr="00223414" w14:paraId="779CC87D" w14:textId="77777777" w:rsidTr="00223414">
        <w:tc>
          <w:tcPr>
            <w:tcW w:w="1800" w:type="dxa"/>
          </w:tcPr>
          <w:p w14:paraId="56556186" w14:textId="77777777" w:rsidR="00223414" w:rsidRPr="00223414" w:rsidRDefault="00223414" w:rsidP="00E35E55">
            <w:pPr>
              <w:spacing w:line="480" w:lineRule="auto"/>
            </w:pPr>
            <w:r w:rsidRPr="00223414">
              <w:rPr>
                <w:rFonts w:eastAsia="Times New Roman" w:cs="Times New Roman"/>
                <w:sz w:val="19"/>
                <w:szCs w:val="19"/>
              </w:rPr>
              <w:t>White River</w:t>
            </w:r>
          </w:p>
        </w:tc>
        <w:tc>
          <w:tcPr>
            <w:tcW w:w="800" w:type="dxa"/>
          </w:tcPr>
          <w:p w14:paraId="248B2407" w14:textId="77777777" w:rsidR="00223414" w:rsidRPr="00223414" w:rsidRDefault="00223414" w:rsidP="00E35E55">
            <w:pPr>
              <w:spacing w:line="480" w:lineRule="auto"/>
            </w:pPr>
            <w:r w:rsidRPr="00223414">
              <w:rPr>
                <w:rFonts w:eastAsia="Times New Roman" w:cs="Times New Roman"/>
                <w:sz w:val="19"/>
                <w:szCs w:val="19"/>
              </w:rPr>
              <w:t>2025</w:t>
            </w:r>
          </w:p>
        </w:tc>
        <w:tc>
          <w:tcPr>
            <w:tcW w:w="1600" w:type="dxa"/>
          </w:tcPr>
          <w:p w14:paraId="08F1EBED" w14:textId="77777777" w:rsidR="00223414" w:rsidRPr="00223414" w:rsidRDefault="00223414" w:rsidP="00E35E55">
            <w:pPr>
              <w:spacing w:line="480" w:lineRule="auto"/>
            </w:pPr>
            <w:r w:rsidRPr="00223414">
              <w:rPr>
                <w:rFonts w:eastAsia="Times New Roman" w:cs="Times New Roman"/>
                <w:sz w:val="19"/>
                <w:szCs w:val="19"/>
              </w:rPr>
              <w:t>82.79</w:t>
            </w:r>
          </w:p>
        </w:tc>
        <w:tc>
          <w:tcPr>
            <w:tcW w:w="1600" w:type="dxa"/>
          </w:tcPr>
          <w:p w14:paraId="43F48C3C" w14:textId="77777777" w:rsidR="00223414" w:rsidRPr="00223414" w:rsidRDefault="00223414" w:rsidP="00E35E55">
            <w:pPr>
              <w:spacing w:line="480" w:lineRule="auto"/>
            </w:pPr>
            <w:r w:rsidRPr="00223414">
              <w:rPr>
                <w:rFonts w:eastAsia="Times New Roman" w:cs="Times New Roman"/>
                <w:sz w:val="19"/>
                <w:szCs w:val="19"/>
              </w:rPr>
              <w:t>101.33</w:t>
            </w:r>
          </w:p>
        </w:tc>
        <w:tc>
          <w:tcPr>
            <w:tcW w:w="900" w:type="dxa"/>
          </w:tcPr>
          <w:p w14:paraId="17B4A8ED" w14:textId="77777777" w:rsidR="00223414" w:rsidRPr="00223414" w:rsidRDefault="00223414" w:rsidP="00E35E55">
            <w:pPr>
              <w:spacing w:line="480" w:lineRule="auto"/>
            </w:pPr>
            <w:r w:rsidRPr="00223414">
              <w:rPr>
                <w:rFonts w:eastAsia="Times New Roman" w:cs="Times New Roman"/>
                <w:sz w:val="19"/>
                <w:szCs w:val="19"/>
              </w:rPr>
              <w:t>0.03</w:t>
            </w:r>
          </w:p>
        </w:tc>
        <w:tc>
          <w:tcPr>
            <w:tcW w:w="1300" w:type="dxa"/>
          </w:tcPr>
          <w:p w14:paraId="08C13862" w14:textId="77777777" w:rsidR="00223414" w:rsidRPr="00223414" w:rsidRDefault="00223414" w:rsidP="00E35E55">
            <w:pPr>
              <w:spacing w:line="480" w:lineRule="auto"/>
            </w:pPr>
            <w:r w:rsidRPr="00223414">
              <w:rPr>
                <w:rFonts w:eastAsia="Times New Roman" w:cs="Times New Roman"/>
                <w:sz w:val="19"/>
                <w:szCs w:val="19"/>
              </w:rPr>
              <w:t>855.06</w:t>
            </w:r>
          </w:p>
        </w:tc>
      </w:tr>
      <w:tr w:rsidR="00223414" w:rsidRPr="00223414" w14:paraId="09E2DE31" w14:textId="77777777" w:rsidTr="00223414">
        <w:tc>
          <w:tcPr>
            <w:tcW w:w="1800" w:type="dxa"/>
          </w:tcPr>
          <w:p w14:paraId="54C448CA" w14:textId="77777777" w:rsidR="00223414" w:rsidRPr="00223414" w:rsidRDefault="00223414" w:rsidP="00E35E55">
            <w:pPr>
              <w:spacing w:line="480" w:lineRule="auto"/>
            </w:pPr>
            <w:proofErr w:type="spellStart"/>
            <w:r w:rsidRPr="00223414">
              <w:rPr>
                <w:rFonts w:eastAsia="Times New Roman" w:cs="Times New Roman"/>
                <w:sz w:val="19"/>
                <w:szCs w:val="19"/>
              </w:rPr>
              <w:t>Mbumburu</w:t>
            </w:r>
            <w:proofErr w:type="spellEnd"/>
          </w:p>
        </w:tc>
        <w:tc>
          <w:tcPr>
            <w:tcW w:w="800" w:type="dxa"/>
          </w:tcPr>
          <w:p w14:paraId="09293E16" w14:textId="77777777" w:rsidR="00223414" w:rsidRPr="00223414" w:rsidRDefault="00223414" w:rsidP="00E35E55">
            <w:pPr>
              <w:spacing w:line="480" w:lineRule="auto"/>
            </w:pPr>
            <w:r w:rsidRPr="00223414">
              <w:rPr>
                <w:rFonts w:eastAsia="Times New Roman" w:cs="Times New Roman"/>
                <w:sz w:val="19"/>
                <w:szCs w:val="19"/>
              </w:rPr>
              <w:t>2006</w:t>
            </w:r>
          </w:p>
        </w:tc>
        <w:tc>
          <w:tcPr>
            <w:tcW w:w="1600" w:type="dxa"/>
          </w:tcPr>
          <w:p w14:paraId="0E3F7729" w14:textId="77777777" w:rsidR="00223414" w:rsidRPr="00223414" w:rsidRDefault="00223414" w:rsidP="00E35E55">
            <w:pPr>
              <w:spacing w:line="480" w:lineRule="auto"/>
            </w:pPr>
            <w:r w:rsidRPr="00223414">
              <w:rPr>
                <w:rFonts w:eastAsia="Times New Roman" w:cs="Times New Roman"/>
                <w:sz w:val="19"/>
                <w:szCs w:val="19"/>
              </w:rPr>
              <w:t>102.32</w:t>
            </w:r>
          </w:p>
        </w:tc>
        <w:tc>
          <w:tcPr>
            <w:tcW w:w="1600" w:type="dxa"/>
          </w:tcPr>
          <w:p w14:paraId="33CB16F8" w14:textId="77777777" w:rsidR="00223414" w:rsidRPr="00223414" w:rsidRDefault="00223414" w:rsidP="00E35E55">
            <w:pPr>
              <w:spacing w:line="480" w:lineRule="auto"/>
            </w:pPr>
            <w:r w:rsidRPr="00223414">
              <w:rPr>
                <w:rFonts w:eastAsia="Times New Roman" w:cs="Times New Roman"/>
                <w:sz w:val="19"/>
                <w:szCs w:val="19"/>
              </w:rPr>
              <w:t>133.28</w:t>
            </w:r>
          </w:p>
        </w:tc>
        <w:tc>
          <w:tcPr>
            <w:tcW w:w="900" w:type="dxa"/>
          </w:tcPr>
          <w:p w14:paraId="113CEEFB" w14:textId="77777777" w:rsidR="00223414" w:rsidRPr="00223414" w:rsidRDefault="00223414" w:rsidP="00E35E55">
            <w:pPr>
              <w:spacing w:line="480" w:lineRule="auto"/>
            </w:pPr>
            <w:r w:rsidRPr="00223414">
              <w:rPr>
                <w:rFonts w:eastAsia="Times New Roman" w:cs="Times New Roman"/>
                <w:sz w:val="19"/>
                <w:szCs w:val="19"/>
              </w:rPr>
              <w:t>3.83</w:t>
            </w:r>
          </w:p>
        </w:tc>
        <w:tc>
          <w:tcPr>
            <w:tcW w:w="1300" w:type="dxa"/>
          </w:tcPr>
          <w:p w14:paraId="69A8C037" w14:textId="77777777" w:rsidR="00223414" w:rsidRPr="00223414" w:rsidRDefault="00223414" w:rsidP="00E35E55">
            <w:pPr>
              <w:spacing w:line="480" w:lineRule="auto"/>
            </w:pPr>
            <w:r w:rsidRPr="00223414">
              <w:rPr>
                <w:rFonts w:eastAsia="Times New Roman" w:cs="Times New Roman"/>
                <w:sz w:val="19"/>
                <w:szCs w:val="19"/>
              </w:rPr>
              <w:t>571.90</w:t>
            </w:r>
          </w:p>
        </w:tc>
      </w:tr>
      <w:tr w:rsidR="00223414" w:rsidRPr="00223414" w14:paraId="215A1A19" w14:textId="77777777" w:rsidTr="00223414">
        <w:tc>
          <w:tcPr>
            <w:tcW w:w="1800" w:type="dxa"/>
          </w:tcPr>
          <w:p w14:paraId="5F72B9F7" w14:textId="77777777" w:rsidR="00223414" w:rsidRPr="00223414" w:rsidRDefault="00223414" w:rsidP="00E35E55">
            <w:pPr>
              <w:spacing w:line="480" w:lineRule="auto"/>
            </w:pPr>
            <w:proofErr w:type="spellStart"/>
            <w:r w:rsidRPr="00223414">
              <w:rPr>
                <w:rFonts w:eastAsia="Times New Roman" w:cs="Times New Roman"/>
                <w:sz w:val="19"/>
                <w:szCs w:val="19"/>
              </w:rPr>
              <w:t>Mbumburu</w:t>
            </w:r>
            <w:proofErr w:type="spellEnd"/>
          </w:p>
        </w:tc>
        <w:tc>
          <w:tcPr>
            <w:tcW w:w="800" w:type="dxa"/>
          </w:tcPr>
          <w:p w14:paraId="4F553376" w14:textId="77777777" w:rsidR="00223414" w:rsidRPr="00223414" w:rsidRDefault="00223414" w:rsidP="00E35E55">
            <w:pPr>
              <w:spacing w:line="480" w:lineRule="auto"/>
            </w:pPr>
            <w:r w:rsidRPr="00223414">
              <w:rPr>
                <w:rFonts w:eastAsia="Times New Roman" w:cs="Times New Roman"/>
                <w:sz w:val="19"/>
                <w:szCs w:val="19"/>
              </w:rPr>
              <w:t>2015</w:t>
            </w:r>
          </w:p>
        </w:tc>
        <w:tc>
          <w:tcPr>
            <w:tcW w:w="1600" w:type="dxa"/>
          </w:tcPr>
          <w:p w14:paraId="12A423F1" w14:textId="77777777" w:rsidR="00223414" w:rsidRPr="00223414" w:rsidRDefault="00223414" w:rsidP="00E35E55">
            <w:pPr>
              <w:spacing w:line="480" w:lineRule="auto"/>
            </w:pPr>
            <w:r w:rsidRPr="00223414">
              <w:rPr>
                <w:rFonts w:eastAsia="Times New Roman" w:cs="Times New Roman"/>
                <w:sz w:val="19"/>
                <w:szCs w:val="19"/>
              </w:rPr>
              <w:t>74.52</w:t>
            </w:r>
          </w:p>
        </w:tc>
        <w:tc>
          <w:tcPr>
            <w:tcW w:w="1600" w:type="dxa"/>
          </w:tcPr>
          <w:p w14:paraId="3E038182" w14:textId="77777777" w:rsidR="00223414" w:rsidRPr="00223414" w:rsidRDefault="00223414" w:rsidP="00E35E55">
            <w:pPr>
              <w:spacing w:line="480" w:lineRule="auto"/>
            </w:pPr>
            <w:r w:rsidRPr="00223414">
              <w:rPr>
                <w:rFonts w:eastAsia="Times New Roman" w:cs="Times New Roman"/>
                <w:sz w:val="19"/>
                <w:szCs w:val="19"/>
              </w:rPr>
              <w:t>116.82</w:t>
            </w:r>
          </w:p>
        </w:tc>
        <w:tc>
          <w:tcPr>
            <w:tcW w:w="900" w:type="dxa"/>
          </w:tcPr>
          <w:p w14:paraId="278C3178" w14:textId="77777777" w:rsidR="00223414" w:rsidRPr="00223414" w:rsidRDefault="00223414" w:rsidP="00E35E55">
            <w:pPr>
              <w:spacing w:line="480" w:lineRule="auto"/>
            </w:pPr>
            <w:r w:rsidRPr="00223414">
              <w:rPr>
                <w:rFonts w:eastAsia="Times New Roman" w:cs="Times New Roman"/>
                <w:sz w:val="19"/>
                <w:szCs w:val="19"/>
              </w:rPr>
              <w:t>2.49</w:t>
            </w:r>
          </w:p>
        </w:tc>
        <w:tc>
          <w:tcPr>
            <w:tcW w:w="1300" w:type="dxa"/>
          </w:tcPr>
          <w:p w14:paraId="485288E2" w14:textId="77777777" w:rsidR="00223414" w:rsidRPr="00223414" w:rsidRDefault="00223414" w:rsidP="00E35E55">
            <w:pPr>
              <w:spacing w:line="480" w:lineRule="auto"/>
            </w:pPr>
            <w:r w:rsidRPr="00223414">
              <w:rPr>
                <w:rFonts w:eastAsia="Times New Roman" w:cs="Times New Roman"/>
                <w:sz w:val="19"/>
                <w:szCs w:val="19"/>
              </w:rPr>
              <w:t>838.62</w:t>
            </w:r>
          </w:p>
        </w:tc>
      </w:tr>
      <w:tr w:rsidR="00223414" w:rsidRPr="00223414" w14:paraId="1F821B95" w14:textId="77777777" w:rsidTr="00223414">
        <w:tc>
          <w:tcPr>
            <w:tcW w:w="1800" w:type="dxa"/>
          </w:tcPr>
          <w:p w14:paraId="18A7FC50" w14:textId="77777777" w:rsidR="00223414" w:rsidRPr="00223414" w:rsidRDefault="00223414" w:rsidP="00E35E55">
            <w:pPr>
              <w:spacing w:line="480" w:lineRule="auto"/>
            </w:pPr>
            <w:proofErr w:type="spellStart"/>
            <w:r w:rsidRPr="00223414">
              <w:rPr>
                <w:rFonts w:eastAsia="Times New Roman" w:cs="Times New Roman"/>
                <w:sz w:val="19"/>
                <w:szCs w:val="19"/>
              </w:rPr>
              <w:t>Mbumburu</w:t>
            </w:r>
            <w:proofErr w:type="spellEnd"/>
          </w:p>
        </w:tc>
        <w:tc>
          <w:tcPr>
            <w:tcW w:w="800" w:type="dxa"/>
          </w:tcPr>
          <w:p w14:paraId="7F874A9F" w14:textId="77777777" w:rsidR="00223414" w:rsidRPr="00223414" w:rsidRDefault="00223414" w:rsidP="00E35E55">
            <w:pPr>
              <w:spacing w:line="480" w:lineRule="auto"/>
            </w:pPr>
            <w:r w:rsidRPr="00223414">
              <w:rPr>
                <w:rFonts w:eastAsia="Times New Roman" w:cs="Times New Roman"/>
                <w:sz w:val="19"/>
                <w:szCs w:val="19"/>
              </w:rPr>
              <w:t>2025</w:t>
            </w:r>
          </w:p>
        </w:tc>
        <w:tc>
          <w:tcPr>
            <w:tcW w:w="1600" w:type="dxa"/>
          </w:tcPr>
          <w:p w14:paraId="0446B37F" w14:textId="77777777" w:rsidR="00223414" w:rsidRPr="00223414" w:rsidRDefault="00223414" w:rsidP="00E35E55">
            <w:pPr>
              <w:spacing w:line="480" w:lineRule="auto"/>
            </w:pPr>
            <w:r w:rsidRPr="00223414">
              <w:rPr>
                <w:rFonts w:eastAsia="Times New Roman" w:cs="Times New Roman"/>
                <w:sz w:val="19"/>
                <w:szCs w:val="19"/>
              </w:rPr>
              <w:t>74.62</w:t>
            </w:r>
          </w:p>
        </w:tc>
        <w:tc>
          <w:tcPr>
            <w:tcW w:w="1600" w:type="dxa"/>
          </w:tcPr>
          <w:p w14:paraId="2760BAD2" w14:textId="77777777" w:rsidR="00223414" w:rsidRPr="00223414" w:rsidRDefault="00223414" w:rsidP="00E35E55">
            <w:pPr>
              <w:spacing w:line="480" w:lineRule="auto"/>
            </w:pPr>
            <w:r w:rsidRPr="00223414">
              <w:rPr>
                <w:rFonts w:eastAsia="Times New Roman" w:cs="Times New Roman"/>
                <w:sz w:val="19"/>
                <w:szCs w:val="19"/>
              </w:rPr>
              <w:t>115.13</w:t>
            </w:r>
          </w:p>
        </w:tc>
        <w:tc>
          <w:tcPr>
            <w:tcW w:w="900" w:type="dxa"/>
          </w:tcPr>
          <w:p w14:paraId="44EBE028" w14:textId="77777777" w:rsidR="00223414" w:rsidRPr="00223414" w:rsidRDefault="00223414" w:rsidP="00E35E55">
            <w:pPr>
              <w:spacing w:line="480" w:lineRule="auto"/>
            </w:pPr>
            <w:r w:rsidRPr="00223414">
              <w:rPr>
                <w:rFonts w:eastAsia="Times New Roman" w:cs="Times New Roman"/>
                <w:sz w:val="19"/>
                <w:szCs w:val="19"/>
              </w:rPr>
              <w:t>4.78</w:t>
            </w:r>
          </w:p>
        </w:tc>
        <w:tc>
          <w:tcPr>
            <w:tcW w:w="1300" w:type="dxa"/>
          </w:tcPr>
          <w:p w14:paraId="28033E84" w14:textId="77777777" w:rsidR="00223414" w:rsidRPr="00223414" w:rsidRDefault="00223414" w:rsidP="00E35E55">
            <w:pPr>
              <w:spacing w:line="480" w:lineRule="auto"/>
            </w:pPr>
            <w:r w:rsidRPr="00223414">
              <w:rPr>
                <w:rFonts w:eastAsia="Times New Roman" w:cs="Times New Roman"/>
                <w:sz w:val="19"/>
                <w:szCs w:val="19"/>
              </w:rPr>
              <w:t>1030.38</w:t>
            </w:r>
          </w:p>
        </w:tc>
      </w:tr>
    </w:tbl>
    <w:p w14:paraId="43EAE761" w14:textId="77777777" w:rsidR="00F26266" w:rsidRDefault="00F26266" w:rsidP="00E35E55">
      <w:pPr>
        <w:spacing w:after="120"/>
        <w:ind w:firstLine="720"/>
        <w:jc w:val="both"/>
        <w:rPr>
          <w:rFonts w:eastAsia="Times New Roman" w:cs="Times New Roman"/>
          <w:color w:val="1A1A1A"/>
          <w:sz w:val="22"/>
          <w:szCs w:val="22"/>
        </w:rPr>
      </w:pPr>
    </w:p>
    <w:p w14:paraId="7C641516" w14:textId="1434AD59" w:rsidR="00223414" w:rsidRDefault="00223414" w:rsidP="00E35E55">
      <w:pPr>
        <w:spacing w:after="120"/>
        <w:ind w:firstLine="720"/>
        <w:jc w:val="both"/>
      </w:pPr>
      <w:r>
        <w:rPr>
          <w:rFonts w:eastAsia="Times New Roman" w:cs="Times New Roman"/>
          <w:color w:val="1A1A1A"/>
          <w:sz w:val="22"/>
          <w:szCs w:val="22"/>
        </w:rPr>
        <w:t>The median building size trajectory differs between the two sites. At White River, median footprint area declined modestly from 74.51 m² in 2006 to 70.96 m² in 2015, then increased to 82.79 m² by 2025. The increase in the most recent decade suggests that while new structures continue to be added, some existing structures are being replaced or expanded, contributing to both higher coverage and an increasing mean footprint size. The substantially higher maximum footprint of 855.06 m² in 2025 compared to 556.74 m² in 2015 is consistent with the addition of a small number of larger commercial or institutional structures in the settlement.</w:t>
      </w:r>
    </w:p>
    <w:p w14:paraId="1BF14631" w14:textId="140D460E" w:rsidR="00223414" w:rsidRDefault="00223414" w:rsidP="00E35E55">
      <w:pPr>
        <w:spacing w:after="120"/>
        <w:ind w:firstLine="720"/>
        <w:jc w:val="both"/>
      </w:pPr>
      <w:r>
        <w:rPr>
          <w:rFonts w:eastAsia="Times New Roman" w:cs="Times New Roman"/>
          <w:color w:val="1A1A1A"/>
          <w:sz w:val="22"/>
          <w:szCs w:val="22"/>
        </w:rPr>
        <w:t xml:space="preserve">At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the most notable feature is the marked decline in median footprint area from 102.32 m² in 2006 to 74.52 m² in 2015, with the median remaining essentially stable at 74.62 m² in 2025. The relatively high 2006 median likely reflects the lower-resolution QuickBird-2 imagery: at 0.61 m resolution, the model tends to produce slightly coarser, larger polygons than at WorldView-3 resolution, as </w:t>
      </w:r>
      <w:proofErr w:type="gramStart"/>
      <w:r>
        <w:rPr>
          <w:rFonts w:eastAsia="Times New Roman" w:cs="Times New Roman"/>
          <w:color w:val="1A1A1A"/>
          <w:sz w:val="22"/>
          <w:szCs w:val="22"/>
        </w:rPr>
        <w:t>finer</w:t>
      </w:r>
      <w:proofErr w:type="gramEnd"/>
      <w:r>
        <w:rPr>
          <w:rFonts w:eastAsia="Times New Roman" w:cs="Times New Roman"/>
          <w:color w:val="1A1A1A"/>
          <w:sz w:val="22"/>
          <w:szCs w:val="22"/>
        </w:rPr>
        <w:t xml:space="preserve"> boundary detail is not available at the earlier sensor’s resolving power. The apparent size reduction between 2006 and 2015 should therefore be interpreted as at least partly a sensor artefact rather than a genuine reduction in building size. The stability between 2015 and </w:t>
      </w:r>
      <w:proofErr w:type="gramStart"/>
      <w:r>
        <w:rPr>
          <w:rFonts w:eastAsia="Times New Roman" w:cs="Times New Roman"/>
          <w:color w:val="1A1A1A"/>
          <w:sz w:val="22"/>
          <w:szCs w:val="22"/>
        </w:rPr>
        <w:t xml:space="preserve">2025 </w:t>
      </w:r>
      <w:r w:rsidR="007F2C8D">
        <w:rPr>
          <w:rFonts w:eastAsia="Times New Roman" w:cs="Times New Roman"/>
          <w:color w:val="1A1A1A"/>
          <w:sz w:val="22"/>
          <w:szCs w:val="22"/>
        </w:rPr>
        <w:t>,</w:t>
      </w:r>
      <w:proofErr w:type="gramEnd"/>
      <w:r w:rsidR="007F2C8D">
        <w:rPr>
          <w:rFonts w:eastAsia="Times New Roman" w:cs="Times New Roman"/>
          <w:color w:val="1A1A1A"/>
          <w:sz w:val="22"/>
          <w:szCs w:val="22"/>
        </w:rPr>
        <w:t xml:space="preserve"> </w:t>
      </w:r>
      <w:r>
        <w:rPr>
          <w:rFonts w:eastAsia="Times New Roman" w:cs="Times New Roman"/>
          <w:color w:val="1A1A1A"/>
          <w:sz w:val="22"/>
          <w:szCs w:val="22"/>
        </w:rPr>
        <w:t>both epochs using WorldView-3</w:t>
      </w:r>
      <w:r w:rsidR="007F2C8D">
        <w:rPr>
          <w:rFonts w:eastAsia="Times New Roman" w:cs="Times New Roman"/>
          <w:color w:val="1A1A1A"/>
          <w:sz w:val="22"/>
          <w:szCs w:val="22"/>
        </w:rPr>
        <w:t xml:space="preserve">, </w:t>
      </w:r>
      <w:r>
        <w:rPr>
          <w:rFonts w:eastAsia="Times New Roman" w:cs="Times New Roman"/>
          <w:color w:val="1A1A1A"/>
          <w:sz w:val="22"/>
          <w:szCs w:val="22"/>
        </w:rPr>
        <w:t xml:space="preserve">is more </w:t>
      </w:r>
      <w:r>
        <w:rPr>
          <w:rFonts w:eastAsia="Times New Roman" w:cs="Times New Roman"/>
          <w:color w:val="1A1A1A"/>
          <w:sz w:val="22"/>
          <w:szCs w:val="22"/>
        </w:rPr>
        <w:lastRenderedPageBreak/>
        <w:t xml:space="preserve">reliable and indicates that </w:t>
      </w:r>
      <w:proofErr w:type="spellStart"/>
      <w:r>
        <w:rPr>
          <w:rFonts w:eastAsia="Times New Roman" w:cs="Times New Roman"/>
          <w:color w:val="1A1A1A"/>
          <w:sz w:val="22"/>
          <w:szCs w:val="22"/>
        </w:rPr>
        <w:t>Mbumburu’s</w:t>
      </w:r>
      <w:proofErr w:type="spellEnd"/>
      <w:r>
        <w:rPr>
          <w:rFonts w:eastAsia="Times New Roman" w:cs="Times New Roman"/>
          <w:color w:val="1A1A1A"/>
          <w:sz w:val="22"/>
          <w:szCs w:val="22"/>
        </w:rPr>
        <w:t xml:space="preserve"> building typology has remained broadly constant in terms of individual footprint size, with growth driven by addition of new structures rather than expansion of existing ones.</w:t>
      </w:r>
    </w:p>
    <w:p w14:paraId="121E81E5" w14:textId="77777777" w:rsidR="00223414" w:rsidRDefault="00223414" w:rsidP="00E35E55">
      <w:pPr>
        <w:spacing w:after="80"/>
      </w:pPr>
    </w:p>
    <w:p w14:paraId="3769FB98" w14:textId="77777777" w:rsidR="00223414" w:rsidRDefault="00223414" w:rsidP="00E35E55">
      <w:pPr>
        <w:spacing w:after="60"/>
        <w:jc w:val="center"/>
      </w:pPr>
      <w:r>
        <w:rPr>
          <w:noProof/>
        </w:rPr>
        <w:drawing>
          <wp:inline distT="0" distB="0" distL="0" distR="0" wp14:anchorId="4452194E" wp14:editId="10045123">
            <wp:extent cx="6020790" cy="3057525"/>
            <wp:effectExtent l="0" t="0" r="0" b="0"/>
            <wp:docPr id="2069899442" name="Picture 2069899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6022577" cy="3058433"/>
                    </a:xfrm>
                    <a:prstGeom prst="rect">
                      <a:avLst/>
                    </a:prstGeom>
                  </pic:spPr>
                </pic:pic>
              </a:graphicData>
            </a:graphic>
          </wp:inline>
        </w:drawing>
      </w:r>
    </w:p>
    <w:p w14:paraId="77E5C20B" w14:textId="17DAF84A" w:rsidR="00223414" w:rsidRDefault="00365D4D" w:rsidP="00365D4D">
      <w:pPr>
        <w:pStyle w:val="Caption"/>
      </w:pPr>
      <w:bookmarkStart w:id="89" w:name="_Ref227677196"/>
      <w:bookmarkStart w:id="90" w:name="_Toc227691725"/>
      <w:r>
        <w:t xml:space="preserve">Figure </w:t>
      </w:r>
      <w:r>
        <w:fldChar w:fldCharType="begin"/>
      </w:r>
      <w:r>
        <w:instrText xml:space="preserve"> SEQ Figure \* ARABIC </w:instrText>
      </w:r>
      <w:r>
        <w:fldChar w:fldCharType="separate"/>
      </w:r>
      <w:r w:rsidR="00EB6CD8">
        <w:rPr>
          <w:noProof/>
        </w:rPr>
        <w:t>15</w:t>
      </w:r>
      <w:r>
        <w:fldChar w:fldCharType="end"/>
      </w:r>
      <w:bookmarkEnd w:id="89"/>
      <w:r>
        <w:t xml:space="preserve">. </w:t>
      </w:r>
      <w:r w:rsidRPr="00652F70">
        <w:t>Median building footprint area over time for both Solomon Islands study sites. Bubble size is proportional to total building count.</w:t>
      </w:r>
      <w:bookmarkEnd w:id="90"/>
    </w:p>
    <w:p w14:paraId="13FF0BE5" w14:textId="77777777" w:rsidR="00365D4D" w:rsidRPr="00365D4D" w:rsidRDefault="00365D4D" w:rsidP="00365D4D"/>
    <w:p w14:paraId="0CDE4700" w14:textId="77777777" w:rsidR="00694411" w:rsidRDefault="00805107" w:rsidP="00E35E55">
      <w:pPr>
        <w:spacing w:after="120"/>
        <w:ind w:firstLine="720"/>
      </w:pPr>
      <w:r>
        <w:rPr>
          <w:rFonts w:eastAsia="Times New Roman" w:cs="Times New Roman"/>
          <w:color w:val="1A1A1A"/>
          <w:sz w:val="22"/>
          <w:szCs w:val="22"/>
        </w:rPr>
        <w:t xml:space="preserve">The results for the two Solomon Islands study sites present a coherent picture of sustained but moderating informal settlement growth in the western outskirts of Honiara. Both White River and </w:t>
      </w:r>
      <w:proofErr w:type="spellStart"/>
      <w:r>
        <w:rPr>
          <w:rFonts w:eastAsia="Times New Roman" w:cs="Times New Roman"/>
          <w:color w:val="1A1A1A"/>
          <w:sz w:val="22"/>
          <w:szCs w:val="22"/>
        </w:rPr>
        <w:t>Mbumburu</w:t>
      </w:r>
      <w:proofErr w:type="spellEnd"/>
      <w:r>
        <w:rPr>
          <w:rFonts w:eastAsia="Times New Roman" w:cs="Times New Roman"/>
          <w:color w:val="1A1A1A"/>
          <w:sz w:val="22"/>
          <w:szCs w:val="22"/>
        </w:rPr>
        <w:t xml:space="preserve"> more than doubled their building stock between 2006 and 2025, and both show densification trajectories that are approaching, though not yet reaching, the lower bound of the ADB Pacific density norm. Taken together, the results are consistent with the </w:t>
      </w:r>
      <w:r w:rsidR="00694411">
        <w:rPr>
          <w:rFonts w:eastAsia="Times New Roman" w:cs="Times New Roman"/>
          <w:color w:val="1A1A1A"/>
          <w:sz w:val="22"/>
          <w:szCs w:val="22"/>
        </w:rPr>
        <w:t>urbanization</w:t>
      </w:r>
      <w:r>
        <w:rPr>
          <w:rFonts w:eastAsia="Times New Roman" w:cs="Times New Roman"/>
          <w:color w:val="1A1A1A"/>
          <w:sz w:val="22"/>
          <w:szCs w:val="22"/>
        </w:rPr>
        <w:t xml:space="preserve"> dynamics documented for Honiara in the broader literature: rapid growth driven by sustained in-migration, constrained by limited available </w:t>
      </w:r>
      <w:r>
        <w:rPr>
          <w:rFonts w:eastAsia="Times New Roman" w:cs="Times New Roman"/>
          <w:color w:val="1A1A1A"/>
          <w:sz w:val="22"/>
          <w:szCs w:val="22"/>
        </w:rPr>
        <w:lastRenderedPageBreak/>
        <w:t xml:space="preserve">land within existing settlement boundaries, and shaped by the informal tenure and access arrangements that </w:t>
      </w:r>
      <w:r w:rsidR="00694411">
        <w:rPr>
          <w:rFonts w:eastAsia="Times New Roman" w:cs="Times New Roman"/>
          <w:color w:val="1A1A1A"/>
          <w:sz w:val="22"/>
          <w:szCs w:val="22"/>
        </w:rPr>
        <w:t>characterize</w:t>
      </w:r>
      <w:r>
        <w:rPr>
          <w:rFonts w:eastAsia="Times New Roman" w:cs="Times New Roman"/>
          <w:color w:val="1A1A1A"/>
          <w:sz w:val="22"/>
          <w:szCs w:val="22"/>
        </w:rPr>
        <w:t xml:space="preserve"> much of Honiara’s residential land market (</w:t>
      </w:r>
      <w:proofErr w:type="spellStart"/>
      <w:r>
        <w:rPr>
          <w:rFonts w:eastAsia="Times New Roman" w:cs="Times New Roman"/>
          <w:color w:val="1A1A1A"/>
          <w:sz w:val="22"/>
          <w:szCs w:val="22"/>
        </w:rPr>
        <w:t>Foukona</w:t>
      </w:r>
      <w:proofErr w:type="spellEnd"/>
      <w:r>
        <w:rPr>
          <w:rFonts w:eastAsia="Times New Roman" w:cs="Times New Roman"/>
          <w:color w:val="1A1A1A"/>
          <w:sz w:val="22"/>
          <w:szCs w:val="22"/>
        </w:rPr>
        <w:t>, 2015; Moore, 2022).</w:t>
      </w:r>
    </w:p>
    <w:p w14:paraId="29FEC8CD" w14:textId="77777777" w:rsidR="00E35E55" w:rsidRDefault="00805107" w:rsidP="00E35E55">
      <w:pPr>
        <w:spacing w:after="120"/>
        <w:ind w:firstLine="720"/>
      </w:pPr>
      <w:r>
        <w:rPr>
          <w:rFonts w:eastAsia="Times New Roman" w:cs="Times New Roman"/>
          <w:color w:val="1A1A1A"/>
          <w:sz w:val="22"/>
          <w:szCs w:val="22"/>
        </w:rPr>
        <w:t>The shift from above-benchmark growth in 2006–2015 to below-benchmark growth in 2015–2025 at both sites deserves careful attention. Two interpretations are plausible and likely operate in combination. The first is physical saturation: both sites are relatively small (40–48 ha) and had reached moderate densities by 2015. With limited room for further infill development and no apparent boundary expansion, absolute additions per year naturally decline even if population pressure remains high. The second is a sensor effect: the use of QuickBird-2 for the 2006 baseline at 0.61 m resolution, compared to WorldView-3 at 0.31 m for 2015 and 2025, may have produced systematically lower building counts in 2006. If the 2006 count is an underestimate relative to the true building stock, the apparent 2006–2015 growth rate would be overstated, and conversely the 2015–2025 rate would appear lower in comparison. Infrastructure planners should note that the 2015–2025 period, being entirely covered by WorldView-3 imagery, provides the more methodologically consistent interval for assessing true growth rates.</w:t>
      </w:r>
    </w:p>
    <w:p w14:paraId="3760D961" w14:textId="77777777" w:rsidR="00E35E55" w:rsidRDefault="00805107" w:rsidP="00E35E55">
      <w:pPr>
        <w:spacing w:after="120"/>
        <w:ind w:firstLine="720"/>
      </w:pPr>
      <w:r>
        <w:rPr>
          <w:rFonts w:eastAsia="Times New Roman" w:cs="Times New Roman"/>
          <w:color w:val="1A1A1A"/>
          <w:sz w:val="22"/>
          <w:szCs w:val="22"/>
        </w:rPr>
        <w:t>For infrastructure planning purposes, the most significant finding is the continued upward trajectory of both building count and built-up coverage at both sites through 2025. Keen et al. (2017) forecast that Honiara’s population could treble by 2050, and while these individual site-level figures cannot be extrapolated to predict city-wide growth, they are consistent with the broader narrative of continued peri-urban expansion. White River in particular, with a 2025 density of 12.78 str/ha approaching the Pacific norm lower bound of 15 str/ha, is likely to require water, sanitation, and road infrastructure capacity planning that accounts for continued densification rather than a stable or declining population.</w:t>
      </w:r>
    </w:p>
    <w:p w14:paraId="672DA659" w14:textId="1DECA57E" w:rsidR="00805107" w:rsidRDefault="00805107" w:rsidP="00E35E55">
      <w:pPr>
        <w:spacing w:after="120"/>
        <w:ind w:firstLine="720"/>
      </w:pPr>
      <w:r>
        <w:rPr>
          <w:rFonts w:eastAsia="Times New Roman" w:cs="Times New Roman"/>
          <w:color w:val="1A1A1A"/>
          <w:sz w:val="22"/>
          <w:szCs w:val="22"/>
        </w:rPr>
        <w:t xml:space="preserve">Both sites </w:t>
      </w:r>
      <w:proofErr w:type="gramStart"/>
      <w:r>
        <w:rPr>
          <w:rFonts w:eastAsia="Times New Roman" w:cs="Times New Roman"/>
          <w:color w:val="1A1A1A"/>
          <w:sz w:val="22"/>
          <w:szCs w:val="22"/>
        </w:rPr>
        <w:t>are located in</w:t>
      </w:r>
      <w:proofErr w:type="gramEnd"/>
      <w:r>
        <w:rPr>
          <w:rFonts w:eastAsia="Times New Roman" w:cs="Times New Roman"/>
          <w:color w:val="1A1A1A"/>
          <w:sz w:val="22"/>
          <w:szCs w:val="22"/>
        </w:rPr>
        <w:t xml:space="preserve"> the western part of Honiara where ADB and Solomon Water have been investing in water supply and wastewater infrastructure. The building footprint data produced in this study can provide </w:t>
      </w:r>
      <w:proofErr w:type="gramStart"/>
      <w:r>
        <w:rPr>
          <w:rFonts w:eastAsia="Times New Roman" w:cs="Times New Roman"/>
          <w:color w:val="1A1A1A"/>
          <w:sz w:val="22"/>
          <w:szCs w:val="22"/>
        </w:rPr>
        <w:t>a spatial evidence</w:t>
      </w:r>
      <w:proofErr w:type="gramEnd"/>
      <w:r>
        <w:rPr>
          <w:rFonts w:eastAsia="Times New Roman" w:cs="Times New Roman"/>
          <w:color w:val="1A1A1A"/>
          <w:sz w:val="22"/>
          <w:szCs w:val="22"/>
        </w:rPr>
        <w:t xml:space="preserve"> base for </w:t>
      </w:r>
      <w:r w:rsidR="00E35E55">
        <w:rPr>
          <w:rFonts w:eastAsia="Times New Roman" w:cs="Times New Roman"/>
          <w:color w:val="1A1A1A"/>
          <w:sz w:val="22"/>
          <w:szCs w:val="22"/>
        </w:rPr>
        <w:t>prioritizing</w:t>
      </w:r>
      <w:r>
        <w:rPr>
          <w:rFonts w:eastAsia="Times New Roman" w:cs="Times New Roman"/>
          <w:color w:val="1A1A1A"/>
          <w:sz w:val="22"/>
          <w:szCs w:val="22"/>
        </w:rPr>
        <w:t xml:space="preserve"> infrastructure extensions within these communities, identifying the highest-density zones within each settlement boundary where demand is </w:t>
      </w:r>
      <w:r>
        <w:rPr>
          <w:rFonts w:eastAsia="Times New Roman" w:cs="Times New Roman"/>
          <w:color w:val="1A1A1A"/>
          <w:sz w:val="22"/>
          <w:szCs w:val="22"/>
        </w:rPr>
        <w:lastRenderedPageBreak/>
        <w:t>most concentrated, and tracking whether built-up coverage rates continue to rise in future monitoring cycles.</w:t>
      </w:r>
    </w:p>
    <w:p w14:paraId="040AA9EB" w14:textId="72917880" w:rsidR="00D94260" w:rsidRDefault="00077CF2" w:rsidP="00514EFC">
      <w:pPr>
        <w:pStyle w:val="Head3"/>
      </w:pPr>
      <w:bookmarkStart w:id="91" w:name="_Toc228286031"/>
      <w:r>
        <w:t>Seis</w:t>
      </w:r>
      <w:r w:rsidR="00C414CB">
        <w:t>micity</w:t>
      </w:r>
      <w:bookmarkEnd w:id="91"/>
    </w:p>
    <w:p w14:paraId="2F8527DF" w14:textId="7BF7CA9A" w:rsidR="56847DCE" w:rsidRDefault="56847DCE" w:rsidP="009F4698">
      <w:pPr>
        <w:pStyle w:val="BodyText"/>
      </w:pPr>
      <w:r w:rsidRPr="4ABFC6BB">
        <w:t xml:space="preserve"> The Solomon Islands are situated along one of the most active seismic regions in the world, aligned in a southeast–northwest chain parallel to a major subduction zone. Throughout much of this boundary, the Pacific Plate subducts beneath the Australian Plate; however, in the vicinity of the Solomon Islands, the tectonic configuration becomes more complex. Here, the Pacific Plate overrides the Woodlark subplate of the Australian Plate, creating a highly dynamic environment capable of generating large earthquakes and tsunamis (Geist, USGS).</w:t>
      </w:r>
    </w:p>
    <w:p w14:paraId="0C801E40" w14:textId="156E67C5" w:rsidR="56847DCE" w:rsidRDefault="56847DCE" w:rsidP="009F4698">
      <w:pPr>
        <w:pStyle w:val="BodyText"/>
      </w:pPr>
      <w:r w:rsidRPr="4ABFC6BB">
        <w:t xml:space="preserve">This tectonic setting produced the magnitude 8.1 earthquake of 1 April 2007, centered southwest of the New Georgia Islands. The rupture involved multiple crustal segments and caused widespread coastal uplift, including the emergence of </w:t>
      </w:r>
      <w:proofErr w:type="gramStart"/>
      <w:r w:rsidRPr="4ABFC6BB">
        <w:t>corals</w:t>
      </w:r>
      <w:proofErr w:type="gramEnd"/>
      <w:r w:rsidRPr="4ABFC6BB">
        <w:t xml:space="preserve"> and previously submerged shorelines (Chen et al., 2011). The earthquake generated a tsunami reaching heights of approximately 12 meters (39 feet), resulting in more than 50 fatalities, primarily in the Gizo area. It was the third magnitude 8.1 megathrust event along this subduction zone in the past century, following major earthquakes in 1939 and 1977 (USGS).</w:t>
      </w:r>
    </w:p>
    <w:p w14:paraId="3424F783" w14:textId="2D01FC5D" w:rsidR="4ABFC6BB" w:rsidRDefault="4ABFC6BB"/>
    <w:p w14:paraId="73636E87" w14:textId="77777777" w:rsidR="00C478BB" w:rsidRDefault="00C478BB" w:rsidP="00C478BB"/>
    <w:p w14:paraId="48941898" w14:textId="77777777" w:rsidR="00C478BB" w:rsidRDefault="00C478BB" w:rsidP="00C478BB">
      <w:r>
        <w:rPr>
          <w:noProof/>
        </w:rPr>
        <w:lastRenderedPageBreak/>
        <w:drawing>
          <wp:inline distT="0" distB="0" distL="0" distR="0" wp14:anchorId="2C3634C8" wp14:editId="3693A796">
            <wp:extent cx="5943600" cy="4792980"/>
            <wp:effectExtent l="0" t="0" r="0" b="7620"/>
            <wp:docPr id="1589763386" name="Picture 85" descr="Map cartoon shows seafloor structures with varied coloring and lines, near islands where an earthquake and tsunami occur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Map cartoon shows seafloor structures with varied coloring and lines, near islands where an earthquake and tsunami occurr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4792980"/>
                    </a:xfrm>
                    <a:prstGeom prst="rect">
                      <a:avLst/>
                    </a:prstGeom>
                    <a:noFill/>
                    <a:ln>
                      <a:noFill/>
                    </a:ln>
                  </pic:spPr>
                </pic:pic>
              </a:graphicData>
            </a:graphic>
          </wp:inline>
        </w:drawing>
      </w:r>
    </w:p>
    <w:p w14:paraId="42393D74" w14:textId="580417B7" w:rsidR="00FC0F55" w:rsidRDefault="00FC0F55" w:rsidP="00895BC6">
      <w:pPr>
        <w:pStyle w:val="Caption"/>
      </w:pPr>
      <w:bookmarkStart w:id="92" w:name="_Toc227691726"/>
      <w:r>
        <w:t xml:space="preserve">Figure </w:t>
      </w:r>
      <w:r>
        <w:fldChar w:fldCharType="begin"/>
      </w:r>
      <w:r>
        <w:instrText xml:space="preserve"> SEQ Figure \* ARABIC </w:instrText>
      </w:r>
      <w:r>
        <w:fldChar w:fldCharType="separate"/>
      </w:r>
      <w:r w:rsidR="00EB6CD8">
        <w:rPr>
          <w:noProof/>
        </w:rPr>
        <w:t>16</w:t>
      </w:r>
      <w:r>
        <w:fldChar w:fldCharType="end"/>
      </w:r>
      <w:r>
        <w:t xml:space="preserve">. </w:t>
      </w:r>
      <w:r w:rsidRPr="00FF4941">
        <w:t>Plate tectonics of the Solomon Islands region. Single white arrows show direction of down</w:t>
      </w:r>
      <w:r w:rsidR="00895BC6">
        <w:t xml:space="preserve"> </w:t>
      </w:r>
      <w:r w:rsidRPr="00FF4941">
        <w:t>going late toward Pacific plate. Double diverging arrows show spreading direction across the Woodlark Ridge that separates the Woodlark and Australian plates.</w:t>
      </w:r>
      <w:bookmarkEnd w:id="92"/>
      <w:r w:rsidR="00895BC6">
        <w:t xml:space="preserve"> </w:t>
      </w:r>
      <w:r>
        <w:t>Approximate area of the fault that ruptured during the April 2007 earthquake is shown in the hachure pattern. Primary bathymetric contour interval is 1000 meters; secondary interval is 200 meters. Public Domain. US Department of Commerce, National Oceanic and Atmospheric Administration, National Geophysical Data Center, 2001.</w:t>
      </w:r>
    </w:p>
    <w:p w14:paraId="31F22B0E" w14:textId="77777777" w:rsidR="00C478BB" w:rsidRDefault="00C478BB" w:rsidP="00C478BB"/>
    <w:p w14:paraId="4F5CEC1F" w14:textId="6846FDE3" w:rsidR="00C478BB" w:rsidRDefault="00C478BB" w:rsidP="00895BC6">
      <w:pPr>
        <w:ind w:firstLine="720"/>
      </w:pPr>
      <w:r w:rsidRPr="00895BC6">
        <w:rPr>
          <w:rStyle w:val="BodyTextChar"/>
        </w:rPr>
        <w:lastRenderedPageBreak/>
        <w:t>The Australia-Pacific plate boundary is over 4000 km long on the northern margin, from the Sunda (Java) trench in the west to the Solomon Islands in the east</w:t>
      </w:r>
      <w:r w:rsidR="00EB6CD8" w:rsidRPr="00895BC6">
        <w:rPr>
          <w:rStyle w:val="BodyTextChar"/>
        </w:rPr>
        <w:t xml:space="preserve"> (</w:t>
      </w:r>
      <w:r w:rsidR="00EB6CD8" w:rsidRPr="00895BC6">
        <w:rPr>
          <w:rStyle w:val="BodyTextChar"/>
        </w:rPr>
        <w:fldChar w:fldCharType="begin"/>
      </w:r>
      <w:r w:rsidR="00EB6CD8" w:rsidRPr="00895BC6">
        <w:rPr>
          <w:rStyle w:val="BodyTextChar"/>
        </w:rPr>
        <w:instrText xml:space="preserve"> REF _Ref227690292 \h </w:instrText>
      </w:r>
      <w:r w:rsidR="00895BC6" w:rsidRPr="00895BC6">
        <w:rPr>
          <w:rStyle w:val="BodyTextChar"/>
        </w:rPr>
        <w:instrText xml:space="preserve"> \* MERGEFORMAT </w:instrText>
      </w:r>
      <w:r w:rsidR="00EB6CD8" w:rsidRPr="00895BC6">
        <w:rPr>
          <w:rStyle w:val="BodyTextChar"/>
        </w:rPr>
      </w:r>
      <w:r w:rsidR="00EB6CD8" w:rsidRPr="00895BC6">
        <w:rPr>
          <w:rStyle w:val="BodyTextChar"/>
        </w:rPr>
        <w:fldChar w:fldCharType="separate"/>
      </w:r>
      <w:r w:rsidR="00EB6CD8" w:rsidRPr="00895BC6">
        <w:rPr>
          <w:rStyle w:val="BodyTextChar"/>
        </w:rPr>
        <w:t>Figure 17</w:t>
      </w:r>
      <w:r w:rsidR="00EB6CD8" w:rsidRPr="00895BC6">
        <w:rPr>
          <w:rStyle w:val="BodyTextChar"/>
        </w:rPr>
        <w:fldChar w:fldCharType="end"/>
      </w:r>
      <w:r w:rsidR="00EB6CD8" w:rsidRPr="00895BC6">
        <w:rPr>
          <w:rStyle w:val="BodyTextChar"/>
        </w:rPr>
        <w:t>)</w:t>
      </w:r>
      <w:r w:rsidRPr="00895BC6">
        <w:rPr>
          <w:rStyle w:val="BodyTextChar"/>
        </w:rPr>
        <w:t>. The eastern section is over 2300 km long, extending west from northeast of the Australian continent and the Coral Sea until it intersects the east coast of Papua New Guinea. The boundary is dominated by the general northward subduction of the Australia plate.</w:t>
      </w:r>
      <w:r w:rsidRPr="005828C5">
        <w:rPr>
          <w:noProof/>
        </w:rPr>
        <w:drawing>
          <wp:inline distT="0" distB="0" distL="0" distR="0" wp14:anchorId="5990F18B" wp14:editId="288F4959">
            <wp:extent cx="5943600" cy="3840480"/>
            <wp:effectExtent l="0" t="0" r="0" b="7620"/>
            <wp:docPr id="14643189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2DD91D7E" w14:textId="2B5C8080" w:rsidR="00EB6CD8" w:rsidRDefault="00EB6CD8" w:rsidP="00EB6CD8">
      <w:pPr>
        <w:pStyle w:val="Caption"/>
      </w:pPr>
      <w:bookmarkStart w:id="93" w:name="_Ref227690292"/>
      <w:bookmarkStart w:id="94" w:name="_Toc227691727"/>
      <w:r>
        <w:t xml:space="preserve">Figure </w:t>
      </w:r>
      <w:r>
        <w:fldChar w:fldCharType="begin"/>
      </w:r>
      <w:r>
        <w:instrText xml:space="preserve"> SEQ Figure \* ARABIC </w:instrText>
      </w:r>
      <w:r>
        <w:fldChar w:fldCharType="separate"/>
      </w:r>
      <w:r>
        <w:rPr>
          <w:noProof/>
        </w:rPr>
        <w:t>17</w:t>
      </w:r>
      <w:r>
        <w:fldChar w:fldCharType="end"/>
      </w:r>
      <w:bookmarkEnd w:id="93"/>
      <w:r>
        <w:t xml:space="preserve">. </w:t>
      </w:r>
      <w:proofErr w:type="spellStart"/>
      <w:r w:rsidRPr="00831AA6">
        <w:t>Seismotectonics</w:t>
      </w:r>
      <w:proofErr w:type="spellEnd"/>
      <w:r w:rsidRPr="00831AA6">
        <w:t xml:space="preserve"> of the New Guinea Region and Vicinity.</w:t>
      </w:r>
      <w:bookmarkEnd w:id="94"/>
    </w:p>
    <w:p w14:paraId="3ADB4897" w14:textId="77777777" w:rsidR="00C478BB" w:rsidRDefault="00C478BB" w:rsidP="00C478BB"/>
    <w:p w14:paraId="7CE1E125" w14:textId="77777777" w:rsidR="00EB6CD8" w:rsidRDefault="00EB6CD8" w:rsidP="00895BC6">
      <w:pPr>
        <w:pStyle w:val="BodyText"/>
      </w:pPr>
      <w:r w:rsidRPr="00094FBF">
        <w:t xml:space="preserve">Along the South Solomon trench, the Australia plate converges with the Pacific plate at a rate of approximately 95 mm/yr towards the east-northeast. Seismicity along the trench is dominantly related to subduction tectonics and large earthquakes are common: there have been 13 M7.5+ earthquakes recorded since 1900. </w:t>
      </w:r>
    </w:p>
    <w:p w14:paraId="02B8179C" w14:textId="77777777" w:rsidR="00C478BB" w:rsidRPr="00285899" w:rsidRDefault="00C478BB" w:rsidP="00C478BB">
      <w:pPr>
        <w:rPr>
          <w:b/>
          <w:bCs/>
        </w:rPr>
      </w:pPr>
      <w:r w:rsidRPr="00285899">
        <w:rPr>
          <w:b/>
          <w:bCs/>
        </w:rPr>
        <w:lastRenderedPageBreak/>
        <w:t>PAGER</w:t>
      </w:r>
    </w:p>
    <w:p w14:paraId="6B6E7357" w14:textId="77777777" w:rsidR="00C478BB" w:rsidRPr="007639B8" w:rsidRDefault="00C478BB" w:rsidP="00895BC6">
      <w:pPr>
        <w:pStyle w:val="BodyText"/>
      </w:pPr>
      <w:r w:rsidRPr="007639B8">
        <w:t xml:space="preserve">Within minutes of a significant earthquake anywhere on the globe, the U.S. Geological Survey (USGS) Prompt Assessment of Global Earthquakes for Response (PAGER) system assesses its potential societal impact. PAGER automatically estimates the number of people exposed to severe ground shaking and the shaking intensity at affected cities. Accompanying maps of the epicentral region show the population distribution and estimated ground-shaking intensity. A regionally specific comment describes the inferred vulnerability of the regional building inventory and, when available, lists recent nearby earthquakes and their effects. PAGER's results are posted on the USGS Earthquake Program Web site (http://earthquake.usgs.gov/), consolidated in a concise one-page report, and sent in near real-time to emergency responders, government agencies, and the media. Both rapid and accurate results are obtained through manual and automatic updates of PAGER's content in the hours following significant earthquakes. These updates incorporate the most recent estimates of earthquake location, magnitude, faulting geometry, and first-hand accounts of shaking. PAGER relies on a rich set of earthquake analysis and assessment tools operated by the USGS and contributing Advanced National Seismic System (ANSS) regional networks. A focused research effort is underway to extend </w:t>
      </w:r>
      <w:proofErr w:type="gramStart"/>
      <w:r w:rsidRPr="007639B8">
        <w:t>PAGER's</w:t>
      </w:r>
      <w:proofErr w:type="gramEnd"/>
      <w:r w:rsidRPr="007639B8">
        <w:t xml:space="preserve"> near real-time capabilities beyond population exposure to quantitative estimates of fatalities, injuries, and displaced population.</w:t>
      </w:r>
    </w:p>
    <w:p w14:paraId="258D4368" w14:textId="77777777" w:rsidR="00EB6CD8" w:rsidRDefault="00EB6CD8" w:rsidP="00EB6CD8">
      <w:pPr>
        <w:pStyle w:val="BodyText"/>
      </w:pPr>
    </w:p>
    <w:p w14:paraId="6F1A4187" w14:textId="77777777" w:rsidR="00EB6CD8" w:rsidRDefault="00EB6CD8" w:rsidP="00EB6CD8">
      <w:pPr>
        <w:pStyle w:val="BodyText"/>
      </w:pPr>
    </w:p>
    <w:p w14:paraId="4458208C" w14:textId="15EF2B5C" w:rsidR="00D94260" w:rsidRDefault="00514EFC" w:rsidP="00D94260">
      <w:pPr>
        <w:pStyle w:val="Head2"/>
      </w:pPr>
      <w:bookmarkStart w:id="95" w:name="_Toc228286032"/>
      <w:r>
        <w:lastRenderedPageBreak/>
        <w:t>Cities of Noro and Munda</w:t>
      </w:r>
      <w:r w:rsidR="007740DC">
        <w:t xml:space="preserve"> in Basin</w:t>
      </w:r>
      <w:bookmarkEnd w:id="95"/>
    </w:p>
    <w:p w14:paraId="7B19412E" w14:textId="0C26B30A" w:rsidR="005F1E32" w:rsidRDefault="005F1E32" w:rsidP="005F1E32">
      <w:pPr>
        <w:pStyle w:val="BodyText"/>
      </w:pPr>
      <w:r w:rsidRPr="005F1E32">
        <w:t>Noro and Munda, located on the southern and western coasts of New Georgia, are two of the most significant population and commercial centers in the Western Province of the Solomon Islands</w:t>
      </w:r>
      <w:r>
        <w:t xml:space="preserve"> (</w:t>
      </w:r>
      <w:r w:rsidR="00B22E60">
        <w:fldChar w:fldCharType="begin"/>
      </w:r>
      <w:r w:rsidR="00B22E60">
        <w:instrText xml:space="preserve"> REF _Ref227271181 \h </w:instrText>
      </w:r>
      <w:r w:rsidR="00B22E60">
        <w:fldChar w:fldCharType="separate"/>
      </w:r>
      <w:r w:rsidR="00B22E60" w:rsidRPr="00A53304">
        <w:rPr>
          <w:rFonts w:ascii="Arial Narrow" w:hAnsi="Arial Narrow"/>
        </w:rPr>
        <w:t xml:space="preserve">Figure </w:t>
      </w:r>
      <w:r w:rsidR="00B22E60">
        <w:rPr>
          <w:rFonts w:ascii="Arial Narrow" w:hAnsi="Arial Narrow"/>
          <w:noProof/>
        </w:rPr>
        <w:t>18</w:t>
      </w:r>
      <w:r w:rsidR="00B22E60">
        <w:fldChar w:fldCharType="end"/>
      </w:r>
      <w:r>
        <w:t>)</w:t>
      </w:r>
      <w:r w:rsidRPr="005F1E32">
        <w:t>.</w:t>
      </w:r>
    </w:p>
    <w:p w14:paraId="310714B0" w14:textId="78F47D37" w:rsidR="005F1E32" w:rsidRDefault="000E6E43" w:rsidP="005F1E32">
      <w:pPr>
        <w:pStyle w:val="BodyText"/>
      </w:pPr>
      <w:r>
        <w:rPr>
          <w:noProof/>
        </w:rPr>
        <w:drawing>
          <wp:inline distT="0" distB="0" distL="0" distR="0" wp14:anchorId="567495B9" wp14:editId="649AADEF">
            <wp:extent cx="4550878" cy="4708432"/>
            <wp:effectExtent l="0" t="0" r="2540" b="0"/>
            <wp:docPr id="17785939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593927" name="Picture 3"/>
                    <pic:cNvPicPr/>
                  </pic:nvPicPr>
                  <pic:blipFill>
                    <a:blip r:embed="rId28"/>
                    <a:stretch>
                      <a:fillRect/>
                    </a:stretch>
                  </pic:blipFill>
                  <pic:spPr>
                    <a:xfrm>
                      <a:off x="0" y="0"/>
                      <a:ext cx="4550878" cy="4708432"/>
                    </a:xfrm>
                    <a:prstGeom prst="rect">
                      <a:avLst/>
                    </a:prstGeom>
                  </pic:spPr>
                </pic:pic>
              </a:graphicData>
            </a:graphic>
          </wp:inline>
        </w:drawing>
      </w:r>
    </w:p>
    <w:p w14:paraId="52E698ED" w14:textId="1E05E039" w:rsidR="00A53304" w:rsidRPr="00A53304" w:rsidRDefault="00A53304" w:rsidP="00A53304">
      <w:pPr>
        <w:pStyle w:val="Caption"/>
        <w:rPr>
          <w:rFonts w:ascii="Arial Narrow" w:hAnsi="Arial Narrow"/>
        </w:rPr>
      </w:pPr>
      <w:bookmarkStart w:id="96" w:name="_Ref227271181"/>
      <w:bookmarkStart w:id="97" w:name="_Toc227691728"/>
      <w:r w:rsidRPr="00A53304">
        <w:rPr>
          <w:rFonts w:ascii="Arial Narrow" w:hAnsi="Arial Narrow"/>
        </w:rPr>
        <w:t xml:space="preserve">Figure </w:t>
      </w:r>
      <w:r w:rsidRPr="00A53304">
        <w:rPr>
          <w:rFonts w:ascii="Arial Narrow" w:hAnsi="Arial Narrow"/>
        </w:rPr>
        <w:fldChar w:fldCharType="begin"/>
      </w:r>
      <w:r w:rsidRPr="00A53304">
        <w:rPr>
          <w:rFonts w:ascii="Arial Narrow" w:hAnsi="Arial Narrow"/>
        </w:rPr>
        <w:instrText xml:space="preserve"> SEQ Figure \* ARABIC </w:instrText>
      </w:r>
      <w:r w:rsidRPr="00A53304">
        <w:rPr>
          <w:rFonts w:ascii="Arial Narrow" w:hAnsi="Arial Narrow"/>
        </w:rPr>
        <w:fldChar w:fldCharType="separate"/>
      </w:r>
      <w:r w:rsidR="00EB6CD8">
        <w:rPr>
          <w:rFonts w:ascii="Arial Narrow" w:hAnsi="Arial Narrow"/>
          <w:noProof/>
        </w:rPr>
        <w:t>18</w:t>
      </w:r>
      <w:r w:rsidRPr="00A53304">
        <w:rPr>
          <w:rFonts w:ascii="Arial Narrow" w:hAnsi="Arial Narrow"/>
        </w:rPr>
        <w:fldChar w:fldCharType="end"/>
      </w:r>
      <w:bookmarkEnd w:id="96"/>
      <w:r w:rsidRPr="00A53304">
        <w:rPr>
          <w:rFonts w:ascii="Arial Narrow" w:hAnsi="Arial Narrow"/>
        </w:rPr>
        <w:t>. Map of New Georgia Island with cities Noro and Munda. The Geographic Coordinate System is WGS84. Sources: Esri, TomTom, FAO, NOAA, USGS.</w:t>
      </w:r>
      <w:bookmarkEnd w:id="97"/>
    </w:p>
    <w:p w14:paraId="45E5DC58" w14:textId="33DA25BD" w:rsidR="00E83DB0" w:rsidRPr="00226511" w:rsidRDefault="00E83DB0" w:rsidP="00E83DB0">
      <w:pPr>
        <w:pStyle w:val="BodyText"/>
        <w:rPr>
          <w:rFonts w:ascii="Arial Narrow" w:hAnsi="Arial Narrow"/>
        </w:rPr>
      </w:pPr>
      <w:r w:rsidRPr="00226511">
        <w:rPr>
          <w:rFonts w:ascii="Arial Narrow" w:hAnsi="Arial Narrow"/>
        </w:rPr>
        <w:t>Alt text: A map showing</w:t>
      </w:r>
      <w:r w:rsidR="0072100F">
        <w:rPr>
          <w:rFonts w:ascii="Arial Narrow" w:hAnsi="Arial Narrow"/>
        </w:rPr>
        <w:t xml:space="preserve"> New Georgia Island with cities Noro and Munda</w:t>
      </w:r>
      <w:r w:rsidRPr="00226511">
        <w:rPr>
          <w:rFonts w:ascii="Arial Narrow" w:hAnsi="Arial Narrow"/>
        </w:rPr>
        <w:t>. The map uses the WGS84 geographic coordinate system and includes data sources from Esri, TomTom, FAO, NOAA, and USGS.</w:t>
      </w:r>
    </w:p>
    <w:p w14:paraId="39670567" w14:textId="576DC657" w:rsidR="005F1E32" w:rsidRPr="005F1E32" w:rsidRDefault="005F1E32" w:rsidP="005F1E32">
      <w:pPr>
        <w:pStyle w:val="BodyText"/>
      </w:pPr>
      <w:r w:rsidRPr="005F1E32">
        <w:lastRenderedPageBreak/>
        <w:t>Although geographically close, each community occupies a distinct hydrologic setting shaped by the island’s complex mixture of volcanic highlands, karstic limestone systems, and coastal lowlands. These diverse physiographic conditions influence the distribution of surface water, groundwater recharge, and freshwater availability across the region.</w:t>
      </w:r>
    </w:p>
    <w:p w14:paraId="404714A3" w14:textId="77777777" w:rsidR="005F1E32" w:rsidRPr="005F1E32" w:rsidRDefault="005F1E32" w:rsidP="005F1E32">
      <w:pPr>
        <w:pStyle w:val="BodyText"/>
      </w:pPr>
      <w:r w:rsidRPr="005F1E32">
        <w:t xml:space="preserve">The Noro area lies primarily along low coastal flats adjacent to </w:t>
      </w:r>
      <w:proofErr w:type="spellStart"/>
      <w:r w:rsidRPr="005F1E32">
        <w:t>Roviana</w:t>
      </w:r>
      <w:proofErr w:type="spellEnd"/>
      <w:r w:rsidRPr="005F1E32">
        <w:t xml:space="preserve"> Lagoon, where freshwater resources depend on a combination of small stream systems and shallow groundwater stored in alluvial and karstic formations. Streams draining into the lagoon respond quickly to rainfall, with limited natural storage and intermittent flow during dry periods. Groundwater tends to be patchy and highly sensitive to saltwater intrusion, particularly in areas with thin </w:t>
      </w:r>
      <w:proofErr w:type="gramStart"/>
      <w:r w:rsidRPr="005F1E32">
        <w:t>soils</w:t>
      </w:r>
      <w:proofErr w:type="gramEnd"/>
      <w:r w:rsidRPr="005F1E32">
        <w:t xml:space="preserve"> or permeable coastal substrates. Industrial and fisheries</w:t>
      </w:r>
      <w:r w:rsidRPr="005F1E32">
        <w:noBreakHyphen/>
        <w:t>related activities around the port reinforce the need for careful protection of groundwater sources and monitoring of water quality in coastal zones where recharge areas are limited.</w:t>
      </w:r>
    </w:p>
    <w:p w14:paraId="01EF915A" w14:textId="77777777" w:rsidR="005F1E32" w:rsidRPr="005F1E32" w:rsidRDefault="005F1E32" w:rsidP="005F1E32">
      <w:pPr>
        <w:pStyle w:val="BodyText"/>
      </w:pPr>
      <w:r w:rsidRPr="005F1E32">
        <w:t>Munda is situated farther inland on slightly elevated terrain with broader access to volcanic and limestone aquifers. The town relies on springs, small rivers, and shallow groundwater systems that are recharged by rainfall infiltrating through fractured volcanic rock and karstic features. These aquifers provide more reliable baseflow than those near Noro, but remain susceptible to contamination, sedimentation during storms, and reduced recharge during prolonged droughts. The larger catchments surrounding Munda provide important natural storage, yet they also experience rapid runoff during heavy rainfall events, increasing the likelihood of flash flooding and erosion along stream channels.</w:t>
      </w:r>
    </w:p>
    <w:p w14:paraId="5EA7DEE5" w14:textId="77777777" w:rsidR="005F1E32" w:rsidRPr="005F1E32" w:rsidRDefault="005F1E32" w:rsidP="005F1E32">
      <w:pPr>
        <w:pStyle w:val="BodyText"/>
      </w:pPr>
      <w:r w:rsidRPr="005F1E32">
        <w:t>Both Noro and Munda are exposed to significant hydrologic variability driven by seasonal rainfall patterns, tropical cyclones, and ENSO</w:t>
      </w:r>
      <w:r w:rsidRPr="005F1E32">
        <w:noBreakHyphen/>
        <w:t xml:space="preserve">related drought cycles. The region’s karst systems can drain rapidly during dry periods, while heavy rainfall can lead to temporary </w:t>
      </w:r>
      <w:r w:rsidRPr="005F1E32">
        <w:lastRenderedPageBreak/>
        <w:t>oversaturation, spring surges, and increased turbidity in surface</w:t>
      </w:r>
      <w:r w:rsidRPr="005F1E32">
        <w:noBreakHyphen/>
        <w:t>water sources. Expanding settlements, tourism, and industrial development have intensified pressures on water supply infrastructure and increased the need for improved management of recharge zones, springs, and coastal aquifers.</w:t>
      </w:r>
    </w:p>
    <w:p w14:paraId="691ECFAF" w14:textId="77777777" w:rsidR="005F1E32" w:rsidRPr="005F1E32" w:rsidRDefault="005F1E32" w:rsidP="005F1E32">
      <w:pPr>
        <w:pStyle w:val="BodyText"/>
      </w:pPr>
      <w:r w:rsidRPr="005F1E32">
        <w:t>The remotely sensed precipitation, evapotranspiration, and drought</w:t>
      </w:r>
      <w:r w:rsidRPr="005F1E32">
        <w:noBreakHyphen/>
        <w:t>monitoring datasets included in this volume provide essential information for evaluating hydrologic conditions across the Noro–Munda region. These datasets support identification of recharge patterns, detection of seasonal water</w:t>
      </w:r>
      <w:r w:rsidRPr="005F1E32">
        <w:noBreakHyphen/>
        <w:t>availability constraints, and long</w:t>
      </w:r>
      <w:r w:rsidRPr="005F1E32">
        <w:noBreakHyphen/>
        <w:t>term planning to ensure that communities on New Georgia can maintain resilient and sustainable freshwater systems amid growing environmental and climatic pressures.</w:t>
      </w:r>
    </w:p>
    <w:p w14:paraId="7B6951D0" w14:textId="77777777" w:rsidR="007A581C" w:rsidRDefault="007A581C" w:rsidP="007A581C">
      <w:pPr>
        <w:pStyle w:val="BodyText"/>
      </w:pPr>
    </w:p>
    <w:p w14:paraId="140CA59B" w14:textId="77777777" w:rsidR="00C65F36" w:rsidRDefault="00C65F36" w:rsidP="00C65F36">
      <w:pPr>
        <w:pStyle w:val="Head3"/>
      </w:pPr>
      <w:bookmarkStart w:id="98" w:name="_Toc228286033"/>
      <w:r w:rsidRPr="003B1806">
        <w:t>Precipitation</w:t>
      </w:r>
      <w:bookmarkEnd w:id="98"/>
    </w:p>
    <w:p w14:paraId="4439F869" w14:textId="1632A700" w:rsidR="00C65F36" w:rsidRPr="00280632" w:rsidRDefault="00C65F36" w:rsidP="00C65F36">
      <w:pPr>
        <w:pStyle w:val="BodyText"/>
      </w:pPr>
      <w:r w:rsidRPr="00766F3C">
        <w:t xml:space="preserve">Precipitation is the primary source of freshwater across Pacific </w:t>
      </w:r>
      <w:r w:rsidR="00705240">
        <w:t>I</w:t>
      </w:r>
      <w:r w:rsidRPr="00766F3C">
        <w:t>sland environments,</w:t>
      </w:r>
      <w:r>
        <w:t xml:space="preserve"> b</w:t>
      </w:r>
      <w:r w:rsidRPr="00280632">
        <w:t>ecause islands lack the buffering capacity of large watersheds or reservoirs</w:t>
      </w:r>
      <w:r>
        <w:t xml:space="preserve"> (Tribble, 2008). Therefore,</w:t>
      </w:r>
      <w:r w:rsidRPr="00280632">
        <w:t xml:space="preserve"> understanding spatial and temporal rainfall variability is essential for evaluating water availability, assessing drought risk, and guiding sustainable management of hydrologic resources. Satellite</w:t>
      </w:r>
      <w:r w:rsidRPr="00280632">
        <w:noBreakHyphen/>
        <w:t>derived precipitation datasets provide a consistent means of monitoring these patterns across remote and data</w:t>
      </w:r>
      <w:r w:rsidRPr="00280632">
        <w:noBreakHyphen/>
        <w:t>sparse island settings.</w:t>
      </w:r>
    </w:p>
    <w:p w14:paraId="23AFC354" w14:textId="29C0C980" w:rsidR="0016054C" w:rsidRPr="0016054C" w:rsidRDefault="0016054C" w:rsidP="0016054C">
      <w:pPr>
        <w:pStyle w:val="Caption"/>
        <w:ind w:firstLine="720"/>
      </w:pPr>
      <w:r w:rsidRPr="0016054C">
        <w:t>Precipitation patterns for the Noro–Munda region were derived using the Integrated Multi</w:t>
      </w:r>
      <w:r w:rsidRPr="0016054C">
        <w:noBreakHyphen/>
      </w:r>
      <w:proofErr w:type="spellStart"/>
      <w:r w:rsidRPr="0016054C">
        <w:t>satellitE</w:t>
      </w:r>
      <w:proofErr w:type="spellEnd"/>
      <w:r w:rsidRPr="0016054C">
        <w:t xml:space="preserve"> Retrievals for GPM (IMERG) precipitation dataset (Huffman </w:t>
      </w:r>
      <w:r w:rsidR="000D767C">
        <w:t>and others</w:t>
      </w:r>
      <w:r w:rsidRPr="0016054C">
        <w:t>, 2019). After the data was acquired, an area</w:t>
      </w:r>
      <w:r w:rsidRPr="0016054C">
        <w:noBreakHyphen/>
        <w:t>averaged daily time series was generated from 1 January 1998 to 31 September 2025 and can be accessed from (USGS Data release citation here).</w:t>
      </w:r>
    </w:p>
    <w:p w14:paraId="28E52484" w14:textId="591AC5CB" w:rsidR="0016054C" w:rsidRPr="0016054C" w:rsidRDefault="0016054C" w:rsidP="0016054C">
      <w:pPr>
        <w:pStyle w:val="Caption"/>
        <w:ind w:firstLine="720"/>
      </w:pPr>
      <w:r w:rsidRPr="0016054C">
        <w:lastRenderedPageBreak/>
        <w:t xml:space="preserve">The Noro–Munda Basin experiences a humid tropical climate characteristic of western New Georgia, where high annual rainfall is influenced by monsoonal activity, frequent convective storms, and localized orographic effects from the island’s rugged interior. The </w:t>
      </w:r>
      <w:r w:rsidR="005E3AB3">
        <w:t>mean</w:t>
      </w:r>
      <w:r w:rsidRPr="0016054C">
        <w:t xml:space="preserve"> annual total precipitation is 3269 mm, and the mean monthly precipitation is 272 mm (</w:t>
      </w:r>
      <w:r w:rsidR="009849A8">
        <w:fldChar w:fldCharType="begin"/>
      </w:r>
      <w:r w:rsidR="009849A8">
        <w:instrText xml:space="preserve"> REF _Ref227271337 \h </w:instrText>
      </w:r>
      <w:r w:rsidR="009849A8">
        <w:fldChar w:fldCharType="separate"/>
      </w:r>
      <w:r w:rsidR="009849A8">
        <w:t xml:space="preserve">Table </w:t>
      </w:r>
      <w:r w:rsidR="009849A8">
        <w:rPr>
          <w:noProof/>
        </w:rPr>
        <w:t>8</w:t>
      </w:r>
      <w:r w:rsidR="009849A8">
        <w:fldChar w:fldCharType="end"/>
      </w:r>
      <w:r w:rsidRPr="0016054C">
        <w:t xml:space="preserve">). Over the period analyzed, the </w:t>
      </w:r>
      <w:r w:rsidR="005E3AB3">
        <w:t>mean</w:t>
      </w:r>
      <w:r w:rsidRPr="0016054C">
        <w:t xml:space="preserve"> minimum monthly precipitation is 206 mm, indicating that even the driest months retain substantial moisture input, while the </w:t>
      </w:r>
      <w:r w:rsidR="005E3AB3">
        <w:t>mean</w:t>
      </w:r>
      <w:r w:rsidRPr="0016054C">
        <w:t xml:space="preserve"> maximum monthly precipitation reaches 393 mm.</w:t>
      </w:r>
    </w:p>
    <w:p w14:paraId="54F9C2F2" w14:textId="0A5E93F9" w:rsidR="00C65F36" w:rsidRPr="00587DCD" w:rsidRDefault="00BE74FF" w:rsidP="00BE74FF">
      <w:pPr>
        <w:pStyle w:val="Caption"/>
        <w:rPr>
          <w:rFonts w:ascii="Arial Narrow" w:hAnsi="Arial Narrow"/>
        </w:rPr>
      </w:pPr>
      <w:bookmarkStart w:id="99" w:name="_Ref227271337"/>
      <w:bookmarkStart w:id="100" w:name="_Toc228285974"/>
      <w:r w:rsidRPr="00587DCD">
        <w:rPr>
          <w:rFonts w:ascii="Arial Narrow" w:hAnsi="Arial Narrow"/>
        </w:rPr>
        <w:t xml:space="preserve">Table </w:t>
      </w:r>
      <w:r w:rsidRPr="00587DCD">
        <w:rPr>
          <w:rFonts w:ascii="Arial Narrow" w:hAnsi="Arial Narrow"/>
        </w:rPr>
        <w:fldChar w:fldCharType="begin"/>
      </w:r>
      <w:r w:rsidRPr="00587DCD">
        <w:rPr>
          <w:rFonts w:ascii="Arial Narrow" w:hAnsi="Arial Narrow"/>
        </w:rPr>
        <w:instrText xml:space="preserve"> SEQ Table \* ARABIC </w:instrText>
      </w:r>
      <w:r w:rsidRPr="00587DCD">
        <w:rPr>
          <w:rFonts w:ascii="Arial Narrow" w:hAnsi="Arial Narrow"/>
        </w:rPr>
        <w:fldChar w:fldCharType="separate"/>
      </w:r>
      <w:r w:rsidR="00C93E55" w:rsidRPr="00587DCD">
        <w:rPr>
          <w:rFonts w:ascii="Arial Narrow" w:hAnsi="Arial Narrow"/>
          <w:noProof/>
        </w:rPr>
        <w:t>8</w:t>
      </w:r>
      <w:r w:rsidRPr="00587DCD">
        <w:rPr>
          <w:rFonts w:ascii="Arial Narrow" w:hAnsi="Arial Narrow"/>
        </w:rPr>
        <w:fldChar w:fldCharType="end"/>
      </w:r>
      <w:bookmarkEnd w:id="99"/>
      <w:r w:rsidRPr="00587DCD">
        <w:rPr>
          <w:rFonts w:ascii="Arial Narrow" w:hAnsi="Arial Narrow"/>
        </w:rPr>
        <w:t xml:space="preserve">. </w:t>
      </w:r>
      <w:r w:rsidR="009849A8" w:rsidRPr="00587DCD">
        <w:rPr>
          <w:rFonts w:ascii="Arial Narrow" w:hAnsi="Arial Narrow"/>
        </w:rPr>
        <w:t>Mean</w:t>
      </w:r>
      <w:r w:rsidRPr="00587DCD">
        <w:rPr>
          <w:rFonts w:ascii="Arial Narrow" w:hAnsi="Arial Narrow"/>
        </w:rPr>
        <w:t xml:space="preserve"> IMERG Precipitation Statistics (1998–2024) for Noro – Munda Basin</w:t>
      </w:r>
      <w:bookmarkEnd w:id="100"/>
    </w:p>
    <w:tbl>
      <w:tblPr>
        <w:tblStyle w:val="TableGrid"/>
        <w:tblW w:w="0" w:type="auto"/>
        <w:tblLook w:val="04A0" w:firstRow="1" w:lastRow="0" w:firstColumn="1" w:lastColumn="0" w:noHBand="0" w:noVBand="1"/>
      </w:tblPr>
      <w:tblGrid>
        <w:gridCol w:w="3955"/>
        <w:gridCol w:w="3595"/>
      </w:tblGrid>
      <w:tr w:rsidR="00C65F36" w:rsidRPr="00937742" w14:paraId="35EF1EE7" w14:textId="77777777">
        <w:tc>
          <w:tcPr>
            <w:tcW w:w="3955" w:type="dxa"/>
          </w:tcPr>
          <w:p w14:paraId="0CB8A7DE" w14:textId="77777777" w:rsidR="00C65F36" w:rsidRPr="0070522D" w:rsidRDefault="00C65F36">
            <w:pPr>
              <w:pStyle w:val="BodyText"/>
              <w:ind w:firstLine="0"/>
              <w:rPr>
                <w:rFonts w:ascii="Arial Narrow" w:hAnsi="Arial Narrow"/>
                <w:b/>
                <w:bCs/>
              </w:rPr>
            </w:pPr>
            <w:r w:rsidRPr="0070522D">
              <w:rPr>
                <w:rFonts w:ascii="Arial Narrow" w:hAnsi="Arial Narrow"/>
                <w:b/>
                <w:bCs/>
              </w:rPr>
              <w:t>Statistic</w:t>
            </w:r>
          </w:p>
        </w:tc>
        <w:tc>
          <w:tcPr>
            <w:tcW w:w="3595" w:type="dxa"/>
          </w:tcPr>
          <w:p w14:paraId="230C9CFB" w14:textId="77777777" w:rsidR="00C65F36" w:rsidRPr="0070522D" w:rsidRDefault="00C65F36">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Pr>
                <w:rFonts w:ascii="Arial Narrow" w:hAnsi="Arial Narrow"/>
                <w:b/>
                <w:bCs/>
              </w:rPr>
              <w:t xml:space="preserve"> (mm)</w:t>
            </w:r>
          </w:p>
        </w:tc>
      </w:tr>
      <w:tr w:rsidR="00C65F36" w:rsidRPr="00937742" w14:paraId="27C25F91" w14:textId="77777777">
        <w:tc>
          <w:tcPr>
            <w:tcW w:w="3955" w:type="dxa"/>
          </w:tcPr>
          <w:p w14:paraId="318155F7" w14:textId="77777777" w:rsidR="00C65F36" w:rsidRPr="0070522D" w:rsidRDefault="00C65F36">
            <w:pPr>
              <w:pStyle w:val="BodyText"/>
              <w:ind w:firstLine="0"/>
              <w:rPr>
                <w:rFonts w:ascii="Arial Narrow" w:hAnsi="Arial Narrow"/>
              </w:rPr>
            </w:pPr>
            <w:r>
              <w:rPr>
                <w:rFonts w:ascii="Arial Narrow" w:hAnsi="Arial Narrow"/>
              </w:rPr>
              <w:t>Mean</w:t>
            </w:r>
            <w:r w:rsidRPr="00937742">
              <w:rPr>
                <w:rFonts w:ascii="Arial Narrow" w:hAnsi="Arial Narrow"/>
              </w:rPr>
              <w:t xml:space="preserve"> annual total</w:t>
            </w:r>
          </w:p>
        </w:tc>
        <w:tc>
          <w:tcPr>
            <w:tcW w:w="3595" w:type="dxa"/>
          </w:tcPr>
          <w:p w14:paraId="49CBBA99" w14:textId="63D572BB" w:rsidR="00C65F36" w:rsidRPr="0070522D" w:rsidRDefault="00F5352C">
            <w:pPr>
              <w:pStyle w:val="BodyText"/>
              <w:ind w:firstLine="0"/>
              <w:rPr>
                <w:rFonts w:ascii="Arial Narrow" w:hAnsi="Arial Narrow"/>
              </w:rPr>
            </w:pPr>
            <w:r>
              <w:rPr>
                <w:rFonts w:ascii="Arial Narrow" w:hAnsi="Arial Narrow"/>
              </w:rPr>
              <w:t>3269</w:t>
            </w:r>
          </w:p>
        </w:tc>
      </w:tr>
      <w:tr w:rsidR="00C65F36" w:rsidRPr="00937742" w14:paraId="454B0B56" w14:textId="77777777">
        <w:tc>
          <w:tcPr>
            <w:tcW w:w="3955" w:type="dxa"/>
          </w:tcPr>
          <w:p w14:paraId="66D90B4D" w14:textId="0FACA0EF" w:rsidR="00C65F36" w:rsidRPr="0070522D" w:rsidRDefault="009849A8">
            <w:pPr>
              <w:pStyle w:val="BodyText"/>
              <w:ind w:firstLine="0"/>
              <w:rPr>
                <w:rFonts w:ascii="Arial Narrow" w:hAnsi="Arial Narrow"/>
              </w:rPr>
            </w:pPr>
            <w:r>
              <w:rPr>
                <w:rFonts w:ascii="Arial Narrow" w:hAnsi="Arial Narrow"/>
              </w:rPr>
              <w:t>M</w:t>
            </w:r>
            <w:r w:rsidR="00C65F36" w:rsidRPr="00937742">
              <w:rPr>
                <w:rFonts w:ascii="Arial Narrow" w:hAnsi="Arial Narrow"/>
              </w:rPr>
              <w:t>ean monthly</w:t>
            </w:r>
          </w:p>
        </w:tc>
        <w:tc>
          <w:tcPr>
            <w:tcW w:w="3595" w:type="dxa"/>
          </w:tcPr>
          <w:p w14:paraId="2F9369B5" w14:textId="7202E7E5" w:rsidR="00C65F36" w:rsidRPr="0070522D" w:rsidRDefault="00F5352C">
            <w:pPr>
              <w:pStyle w:val="BodyText"/>
              <w:ind w:firstLine="0"/>
              <w:rPr>
                <w:rFonts w:ascii="Arial Narrow" w:hAnsi="Arial Narrow"/>
              </w:rPr>
            </w:pPr>
            <w:r>
              <w:rPr>
                <w:rFonts w:ascii="Arial Narrow" w:hAnsi="Arial Narrow"/>
              </w:rPr>
              <w:t>272</w:t>
            </w:r>
          </w:p>
        </w:tc>
      </w:tr>
      <w:tr w:rsidR="00C65F36" w:rsidRPr="00937742" w14:paraId="68371075" w14:textId="77777777">
        <w:tc>
          <w:tcPr>
            <w:tcW w:w="3955" w:type="dxa"/>
          </w:tcPr>
          <w:p w14:paraId="6AFEC020" w14:textId="04A063A3" w:rsidR="00C65F36" w:rsidRPr="0070522D" w:rsidRDefault="009849A8">
            <w:pPr>
              <w:pStyle w:val="BodyText"/>
              <w:ind w:firstLine="0"/>
              <w:rPr>
                <w:rFonts w:ascii="Arial Narrow" w:hAnsi="Arial Narrow"/>
              </w:rPr>
            </w:pPr>
            <w:r>
              <w:rPr>
                <w:rFonts w:ascii="Arial Narrow" w:hAnsi="Arial Narrow"/>
              </w:rPr>
              <w:t>M</w:t>
            </w:r>
            <w:r w:rsidRPr="00937742">
              <w:rPr>
                <w:rFonts w:ascii="Arial Narrow" w:hAnsi="Arial Narrow"/>
              </w:rPr>
              <w:t>ean</w:t>
            </w:r>
            <w:r>
              <w:rPr>
                <w:rFonts w:ascii="Arial Narrow" w:hAnsi="Arial Narrow"/>
              </w:rPr>
              <w:t xml:space="preserve"> m</w:t>
            </w:r>
            <w:r w:rsidR="00C65F36" w:rsidRPr="00937742">
              <w:rPr>
                <w:rFonts w:ascii="Arial Narrow" w:hAnsi="Arial Narrow"/>
              </w:rPr>
              <w:t>in</w:t>
            </w:r>
            <w:r w:rsidR="00C65F36" w:rsidRPr="0070522D">
              <w:rPr>
                <w:rFonts w:ascii="Arial Narrow" w:hAnsi="Arial Narrow"/>
              </w:rPr>
              <w:t>imum</w:t>
            </w:r>
            <w:r w:rsidR="00C65F36" w:rsidRPr="00937742">
              <w:rPr>
                <w:rFonts w:ascii="Arial Narrow" w:hAnsi="Arial Narrow"/>
              </w:rPr>
              <w:t xml:space="preserve"> monthly</w:t>
            </w:r>
          </w:p>
        </w:tc>
        <w:tc>
          <w:tcPr>
            <w:tcW w:w="3595" w:type="dxa"/>
          </w:tcPr>
          <w:p w14:paraId="4A1D7C51" w14:textId="7EDDEF37" w:rsidR="00C65F36" w:rsidRPr="0070522D" w:rsidRDefault="00F5352C">
            <w:pPr>
              <w:pStyle w:val="BodyText"/>
              <w:ind w:firstLine="0"/>
              <w:rPr>
                <w:rFonts w:ascii="Arial Narrow" w:hAnsi="Arial Narrow"/>
              </w:rPr>
            </w:pPr>
            <w:r>
              <w:rPr>
                <w:rFonts w:ascii="Arial Narrow" w:hAnsi="Arial Narrow"/>
              </w:rPr>
              <w:t>206</w:t>
            </w:r>
          </w:p>
        </w:tc>
      </w:tr>
      <w:tr w:rsidR="00C65F36" w:rsidRPr="00937742" w14:paraId="6E279D64" w14:textId="77777777">
        <w:tc>
          <w:tcPr>
            <w:tcW w:w="3955" w:type="dxa"/>
          </w:tcPr>
          <w:p w14:paraId="237F3AF6" w14:textId="61FE57C2" w:rsidR="00C65F36" w:rsidRPr="0070522D" w:rsidRDefault="009849A8">
            <w:pPr>
              <w:pStyle w:val="BodyText"/>
              <w:ind w:firstLine="0"/>
              <w:rPr>
                <w:rFonts w:ascii="Arial Narrow" w:hAnsi="Arial Narrow"/>
              </w:rPr>
            </w:pPr>
            <w:r>
              <w:rPr>
                <w:rFonts w:ascii="Arial Narrow" w:hAnsi="Arial Narrow"/>
              </w:rPr>
              <w:t>M</w:t>
            </w:r>
            <w:r w:rsidRPr="00937742">
              <w:rPr>
                <w:rFonts w:ascii="Arial Narrow" w:hAnsi="Arial Narrow"/>
              </w:rPr>
              <w:t>ean</w:t>
            </w:r>
            <w:r w:rsidR="00C65F36" w:rsidRPr="00937742">
              <w:rPr>
                <w:rFonts w:ascii="Arial Narrow" w:hAnsi="Arial Narrow"/>
              </w:rPr>
              <w:t xml:space="preserve"> max</w:t>
            </w:r>
            <w:r w:rsidR="00C65F36" w:rsidRPr="0070522D">
              <w:rPr>
                <w:rFonts w:ascii="Arial Narrow" w:hAnsi="Arial Narrow"/>
              </w:rPr>
              <w:t>imum</w:t>
            </w:r>
            <w:r w:rsidR="00C65F36" w:rsidRPr="00937742">
              <w:rPr>
                <w:rFonts w:ascii="Arial Narrow" w:hAnsi="Arial Narrow"/>
              </w:rPr>
              <w:t xml:space="preserve"> monthly</w:t>
            </w:r>
          </w:p>
        </w:tc>
        <w:tc>
          <w:tcPr>
            <w:tcW w:w="3595" w:type="dxa"/>
          </w:tcPr>
          <w:p w14:paraId="6305BCC4" w14:textId="2B22F13E" w:rsidR="00C65F36" w:rsidRPr="0070522D" w:rsidRDefault="00F5352C">
            <w:pPr>
              <w:pStyle w:val="BodyText"/>
              <w:ind w:firstLine="0"/>
              <w:rPr>
                <w:rFonts w:ascii="Arial Narrow" w:hAnsi="Arial Narrow"/>
              </w:rPr>
            </w:pPr>
            <w:r>
              <w:rPr>
                <w:rFonts w:ascii="Arial Narrow" w:hAnsi="Arial Narrow"/>
              </w:rPr>
              <w:t>393</w:t>
            </w:r>
          </w:p>
        </w:tc>
      </w:tr>
    </w:tbl>
    <w:p w14:paraId="00CDFEA4" w14:textId="77777777" w:rsidR="00C65F36" w:rsidRDefault="00C65F36" w:rsidP="00C65F36">
      <w:pPr>
        <w:pStyle w:val="BodyText"/>
        <w:ind w:firstLine="0"/>
      </w:pPr>
    </w:p>
    <w:p w14:paraId="37A3FDCD" w14:textId="4477F254" w:rsidR="00032D8A" w:rsidRPr="00032D8A" w:rsidRDefault="00032D8A" w:rsidP="00032D8A">
      <w:pPr>
        <w:pStyle w:val="BodyText"/>
      </w:pPr>
      <w:r w:rsidRPr="00032D8A">
        <w:t>The Noro–Munda region receives moderate to very high precipitation throughout the year, with monthly rainfall totals generally ranging from (insert low value) to more than (insert high value) millimeters, consistent with its wet tropical climate. Although rainfall occurs year</w:t>
      </w:r>
      <w:r w:rsidRPr="00032D8A">
        <w:noBreakHyphen/>
        <w:t>round, a pronounced seasonal pattern is present, with enhanced precipitation commonly observed during the months of (insert wet season months) (</w:t>
      </w:r>
      <w:r w:rsidR="00C51C1F">
        <w:fldChar w:fldCharType="begin"/>
      </w:r>
      <w:r w:rsidR="00C51C1F">
        <w:instrText xml:space="preserve"> REF _Ref227271423 \h </w:instrText>
      </w:r>
      <w:r w:rsidR="00C51C1F">
        <w:fldChar w:fldCharType="separate"/>
      </w:r>
      <w:r w:rsidR="00C51C1F" w:rsidRPr="00754FB5">
        <w:rPr>
          <w:rFonts w:ascii="Arial Narrow" w:hAnsi="Arial Narrow"/>
        </w:rPr>
        <w:t xml:space="preserve">Figure </w:t>
      </w:r>
      <w:r w:rsidR="00C51C1F">
        <w:rPr>
          <w:rFonts w:ascii="Arial Narrow" w:hAnsi="Arial Narrow"/>
          <w:noProof/>
        </w:rPr>
        <w:t>19</w:t>
      </w:r>
      <w:r w:rsidR="00C51C1F">
        <w:fldChar w:fldCharType="end"/>
      </w:r>
      <w:r w:rsidRPr="00032D8A">
        <w:t xml:space="preserve">). Several months exceed </w:t>
      </w:r>
      <w:r w:rsidR="00096014">
        <w:t>6</w:t>
      </w:r>
      <w:r w:rsidRPr="00032D8A">
        <w:t>00 millimeters, such as (</w:t>
      </w:r>
      <w:r w:rsidR="00096014">
        <w:t>February 2020</w:t>
      </w:r>
      <w:r w:rsidRPr="00032D8A">
        <w:t xml:space="preserve"> – </w:t>
      </w:r>
      <w:r w:rsidR="00096014">
        <w:t>711</w:t>
      </w:r>
      <w:r w:rsidRPr="00032D8A">
        <w:t xml:space="preserve"> mm, </w:t>
      </w:r>
      <w:r w:rsidR="00C16111">
        <w:t>January 2015</w:t>
      </w:r>
      <w:r w:rsidRPr="00032D8A">
        <w:t xml:space="preserve"> – </w:t>
      </w:r>
      <w:r w:rsidR="00C16111">
        <w:t>693</w:t>
      </w:r>
      <w:r w:rsidRPr="00032D8A">
        <w:t xml:space="preserve"> mm, March 20</w:t>
      </w:r>
      <w:r w:rsidR="00C16111">
        <w:t>13</w:t>
      </w:r>
      <w:r w:rsidRPr="00032D8A">
        <w:t xml:space="preserve"> – 6</w:t>
      </w:r>
      <w:r w:rsidR="00C16111">
        <w:t>60</w:t>
      </w:r>
      <w:r w:rsidRPr="00032D8A">
        <w:t xml:space="preserve"> mm), indicating the potential for intense, short</w:t>
      </w:r>
      <w:r w:rsidRPr="00032D8A">
        <w:noBreakHyphen/>
        <w:t xml:space="preserve">duration wet periods associated with monsoonal surges, tropical disturbances, or localized convective systems. Conversely, drier months occur regularly, with the lowest monthly totals averaging around </w:t>
      </w:r>
      <w:r w:rsidR="00C0158D">
        <w:t>30</w:t>
      </w:r>
      <w:r w:rsidRPr="00032D8A">
        <w:t xml:space="preserve"> m</w:t>
      </w:r>
      <w:r w:rsidR="00C0158D">
        <w:t>m</w:t>
      </w:r>
      <w:r w:rsidRPr="00032D8A">
        <w:t xml:space="preserve">; for example, (August </w:t>
      </w:r>
      <w:r w:rsidR="00D12C9E">
        <w:t>1999</w:t>
      </w:r>
      <w:r w:rsidRPr="00032D8A">
        <w:t xml:space="preserve"> – </w:t>
      </w:r>
      <w:r w:rsidR="00D12C9E">
        <w:t>15</w:t>
      </w:r>
      <w:r w:rsidRPr="00032D8A">
        <w:t xml:space="preserve"> mm) represents one of the driest months in the record.</w:t>
      </w:r>
    </w:p>
    <w:p w14:paraId="6DB7B6AE" w14:textId="6222AB3F" w:rsidR="0016054C" w:rsidRDefault="00817D3D" w:rsidP="00C65F36">
      <w:pPr>
        <w:pStyle w:val="BodyText"/>
        <w:ind w:firstLine="0"/>
      </w:pPr>
      <w:r>
        <w:rPr>
          <w:noProof/>
        </w:rPr>
        <w:lastRenderedPageBreak/>
        <w:drawing>
          <wp:inline distT="0" distB="0" distL="0" distR="0" wp14:anchorId="67107111" wp14:editId="36BE2F16">
            <wp:extent cx="5943600" cy="2844165"/>
            <wp:effectExtent l="0" t="0" r="0" b="0"/>
            <wp:docPr id="1080146864" name="Chart 1">
              <a:extLst xmlns:a="http://schemas.openxmlformats.org/drawingml/2006/main">
                <a:ext uri="{FF2B5EF4-FFF2-40B4-BE49-F238E27FC236}">
                  <a16:creationId xmlns:a16="http://schemas.microsoft.com/office/drawing/2014/main" id="{5FD8EDAB-FC06-41D2-BE8F-DC3A459C92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C773A07" w14:textId="5DA84280" w:rsidR="00C65F36" w:rsidRPr="00587DCD" w:rsidRDefault="00754FB5" w:rsidP="009F4698">
      <w:pPr>
        <w:pStyle w:val="BodyText"/>
        <w:ind w:firstLine="0"/>
        <w:rPr>
          <w:rFonts w:ascii="Arial Narrow" w:hAnsi="Arial Narrow"/>
        </w:rPr>
      </w:pPr>
      <w:bookmarkStart w:id="101" w:name="_Ref227271423"/>
      <w:bookmarkStart w:id="102" w:name="_Toc227691729"/>
      <w:r w:rsidRPr="00587DCD">
        <w:rPr>
          <w:rFonts w:ascii="Arial Narrow" w:hAnsi="Arial Narrow"/>
        </w:rPr>
        <w:t xml:space="preserve">Figure </w:t>
      </w:r>
      <w:r w:rsidRPr="00587DCD">
        <w:rPr>
          <w:rFonts w:ascii="Arial Narrow" w:hAnsi="Arial Narrow"/>
        </w:rPr>
        <w:fldChar w:fldCharType="begin"/>
      </w:r>
      <w:r w:rsidRPr="00587DCD">
        <w:rPr>
          <w:rFonts w:ascii="Arial Narrow" w:hAnsi="Arial Narrow"/>
        </w:rPr>
        <w:instrText xml:space="preserve"> SEQ Figure \* ARABIC </w:instrText>
      </w:r>
      <w:r w:rsidRPr="00587DCD">
        <w:rPr>
          <w:rFonts w:ascii="Arial Narrow" w:hAnsi="Arial Narrow"/>
        </w:rPr>
        <w:fldChar w:fldCharType="separate"/>
      </w:r>
      <w:r w:rsidR="00EB6CD8" w:rsidRPr="00587DCD">
        <w:rPr>
          <w:rFonts w:ascii="Arial Narrow" w:hAnsi="Arial Narrow"/>
          <w:noProof/>
        </w:rPr>
        <w:t>19</w:t>
      </w:r>
      <w:r w:rsidRPr="00587DCD">
        <w:rPr>
          <w:rFonts w:ascii="Arial Narrow" w:hAnsi="Arial Narrow"/>
        </w:rPr>
        <w:fldChar w:fldCharType="end"/>
      </w:r>
      <w:bookmarkEnd w:id="101"/>
      <w:r w:rsidRPr="00587DCD">
        <w:rPr>
          <w:rFonts w:ascii="Arial Narrow" w:hAnsi="Arial Narrow"/>
        </w:rPr>
        <w:t>. Monthly precipitation for the years 1998 - 2025 in mm.</w:t>
      </w:r>
      <w:bookmarkEnd w:id="102"/>
    </w:p>
    <w:p w14:paraId="04FA2112" w14:textId="77777777" w:rsidR="00C65F36" w:rsidRPr="009F43CC" w:rsidRDefault="00C65F36" w:rsidP="00C65F36">
      <w:pPr>
        <w:pStyle w:val="BodyText"/>
        <w:ind w:firstLine="0"/>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01D7CCA2" w14:textId="2C1FED55" w:rsidR="00896C2F" w:rsidRPr="00896C2F" w:rsidRDefault="00896C2F" w:rsidP="00896C2F">
      <w:pPr>
        <w:pStyle w:val="BodyText"/>
      </w:pPr>
      <w:r w:rsidRPr="00896C2F">
        <w:t>Annual precipitation in the Noro–Munda region varies from year to year, though overall totals remain high compared to many Pacific island environments. Annual values generally cluster around the long</w:t>
      </w:r>
      <w:r w:rsidRPr="00896C2F">
        <w:noBreakHyphen/>
        <w:t xml:space="preserve">term </w:t>
      </w:r>
      <w:proofErr w:type="gramStart"/>
      <w:r w:rsidRPr="00896C2F">
        <w:t>mean</w:t>
      </w:r>
      <w:proofErr w:type="gramEnd"/>
      <w:r w:rsidRPr="00896C2F">
        <w:t xml:space="preserve"> of </w:t>
      </w:r>
      <w:r>
        <w:t>3269</w:t>
      </w:r>
      <w:r w:rsidRPr="00896C2F">
        <w:t xml:space="preserve"> mm/yr, with individual years fluctuating between notably wetter and drier conditions (</w:t>
      </w:r>
      <w:r w:rsidR="00846C44">
        <w:fldChar w:fldCharType="begin"/>
      </w:r>
      <w:r w:rsidR="00846C44">
        <w:instrText xml:space="preserve"> REF _Ref227271634 \h </w:instrText>
      </w:r>
      <w:r w:rsidR="00846C44">
        <w:fldChar w:fldCharType="separate"/>
      </w:r>
      <w:r w:rsidR="00846C44" w:rsidRPr="002E3C43">
        <w:rPr>
          <w:rFonts w:ascii="Arial Narrow" w:hAnsi="Arial Narrow"/>
        </w:rPr>
        <w:t xml:space="preserve">Figure </w:t>
      </w:r>
      <w:r w:rsidR="00846C44">
        <w:rPr>
          <w:rFonts w:ascii="Arial Narrow" w:hAnsi="Arial Narrow"/>
          <w:noProof/>
        </w:rPr>
        <w:t>20</w:t>
      </w:r>
      <w:r w:rsidR="00846C44">
        <w:fldChar w:fldCharType="end"/>
      </w:r>
      <w:r w:rsidRPr="00896C2F">
        <w:t xml:space="preserve">). Several years exceed </w:t>
      </w:r>
      <w:r w:rsidR="00785F4A">
        <w:t>4</w:t>
      </w:r>
      <w:r w:rsidRPr="00896C2F">
        <w:t>000 mm, including 20</w:t>
      </w:r>
      <w:r w:rsidR="00785F4A">
        <w:t>23</w:t>
      </w:r>
      <w:r w:rsidR="00846C44">
        <w:t xml:space="preserve"> (</w:t>
      </w:r>
      <w:r w:rsidR="00785F4A">
        <w:t>4478</w:t>
      </w:r>
      <w:r w:rsidRPr="00896C2F">
        <w:t xml:space="preserve"> mm</w:t>
      </w:r>
      <w:r w:rsidR="00846C44">
        <w:t>),</w:t>
      </w:r>
      <w:r w:rsidRPr="00896C2F">
        <w:t xml:space="preserve"> 20</w:t>
      </w:r>
      <w:r w:rsidR="00CC564C">
        <w:t>15</w:t>
      </w:r>
      <w:r w:rsidR="00846C44">
        <w:t xml:space="preserve"> (</w:t>
      </w:r>
      <w:r w:rsidR="00CC564C">
        <w:t>4322</w:t>
      </w:r>
      <w:r w:rsidRPr="00896C2F">
        <w:t xml:space="preserve"> mm</w:t>
      </w:r>
      <w:r w:rsidR="00846C44">
        <w:t>),</w:t>
      </w:r>
      <w:r w:rsidRPr="00896C2F">
        <w:t xml:space="preserve"> 20</w:t>
      </w:r>
      <w:r w:rsidR="00CC564C">
        <w:t>20</w:t>
      </w:r>
      <w:r w:rsidRPr="00896C2F">
        <w:t xml:space="preserve"> </w:t>
      </w:r>
      <w:r w:rsidR="00846C44">
        <w:t>(</w:t>
      </w:r>
      <w:r w:rsidR="00CC564C">
        <w:t>4319</w:t>
      </w:r>
      <w:r w:rsidRPr="00896C2F">
        <w:t xml:space="preserve"> mm) during periods influenced by strong regional climate anomalies or enhanced convective activity, while the driest years fall below 1</w:t>
      </w:r>
      <w:r w:rsidR="00CC564C">
        <w:t>0</w:t>
      </w:r>
      <w:r w:rsidRPr="00896C2F">
        <w:t xml:space="preserve">00 mm, such as </w:t>
      </w:r>
      <w:r w:rsidR="00846C44">
        <w:t xml:space="preserve">in </w:t>
      </w:r>
      <w:r w:rsidR="00CC564C">
        <w:t>1999</w:t>
      </w:r>
      <w:r w:rsidR="00846C44">
        <w:t xml:space="preserve"> (</w:t>
      </w:r>
      <w:r w:rsidR="00CC564C">
        <w:t>863 mm</w:t>
      </w:r>
      <w:r w:rsidRPr="00896C2F">
        <w:t xml:space="preserve">), reflecting the region’s sensitivity to shifts in monsoonal forcing and El Niño–Southern Oscillation–related variability. Although </w:t>
      </w:r>
      <w:proofErr w:type="gramStart"/>
      <w:r w:rsidRPr="00896C2F">
        <w:t>the most</w:t>
      </w:r>
      <w:proofErr w:type="gramEnd"/>
      <w:r w:rsidRPr="00896C2F">
        <w:t xml:space="preserve"> recent years show departures from the long</w:t>
      </w:r>
      <w:r w:rsidRPr="00896C2F">
        <w:noBreakHyphen/>
        <w:t xml:space="preserve">term </w:t>
      </w:r>
      <w:proofErr w:type="gramStart"/>
      <w:r w:rsidR="00846C44">
        <w:t>mean</w:t>
      </w:r>
      <w:proofErr w:type="gramEnd"/>
      <w:r w:rsidRPr="00896C2F">
        <w:t>, no sustained multi</w:t>
      </w:r>
      <w:r w:rsidRPr="00896C2F">
        <w:noBreakHyphen/>
        <w:t>year trend in extreme wetness or dryness is evident, and interannual variability remains within the typical historical range for the basin.</w:t>
      </w:r>
    </w:p>
    <w:p w14:paraId="6CF74630" w14:textId="055A8D29" w:rsidR="00C65F36" w:rsidRDefault="00817D3D" w:rsidP="00680901">
      <w:pPr>
        <w:pStyle w:val="BodyText"/>
        <w:ind w:firstLine="0"/>
      </w:pPr>
      <w:r>
        <w:rPr>
          <w:noProof/>
        </w:rPr>
        <w:lastRenderedPageBreak/>
        <w:drawing>
          <wp:inline distT="0" distB="0" distL="0" distR="0" wp14:anchorId="2F11CCC9" wp14:editId="6CA27CBB">
            <wp:extent cx="5943600" cy="4189863"/>
            <wp:effectExtent l="0" t="0" r="0" b="1270"/>
            <wp:docPr id="677137169" name="Chart 1">
              <a:extLst xmlns:a="http://schemas.openxmlformats.org/drawingml/2006/main">
                <a:ext uri="{FF2B5EF4-FFF2-40B4-BE49-F238E27FC236}">
                  <a16:creationId xmlns:a16="http://schemas.microsoft.com/office/drawing/2014/main" id="{DE4B969D-DAE9-4DF4-A30E-F48EF439D7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54C9765" w14:textId="0CCD73F7" w:rsidR="00C65F36" w:rsidRPr="002E3C43" w:rsidRDefault="002E3C43" w:rsidP="002E3C43">
      <w:pPr>
        <w:pStyle w:val="Caption"/>
        <w:rPr>
          <w:rFonts w:ascii="Arial Narrow" w:hAnsi="Arial Narrow"/>
        </w:rPr>
      </w:pPr>
      <w:bookmarkStart w:id="103" w:name="_Ref227271634"/>
      <w:bookmarkStart w:id="104" w:name="_Toc227691730"/>
      <w:r w:rsidRPr="002E3C43">
        <w:rPr>
          <w:rFonts w:ascii="Arial Narrow" w:hAnsi="Arial Narrow"/>
        </w:rPr>
        <w:t xml:space="preserve">Figure </w:t>
      </w:r>
      <w:r w:rsidRPr="002E3C43">
        <w:rPr>
          <w:rFonts w:ascii="Arial Narrow" w:hAnsi="Arial Narrow"/>
        </w:rPr>
        <w:fldChar w:fldCharType="begin"/>
      </w:r>
      <w:r w:rsidRPr="002E3C43">
        <w:rPr>
          <w:rFonts w:ascii="Arial Narrow" w:hAnsi="Arial Narrow"/>
        </w:rPr>
        <w:instrText xml:space="preserve"> SEQ Figure \* ARABIC </w:instrText>
      </w:r>
      <w:r w:rsidRPr="002E3C43">
        <w:rPr>
          <w:rFonts w:ascii="Arial Narrow" w:hAnsi="Arial Narrow"/>
        </w:rPr>
        <w:fldChar w:fldCharType="separate"/>
      </w:r>
      <w:r w:rsidR="00EB6CD8">
        <w:rPr>
          <w:rFonts w:ascii="Arial Narrow" w:hAnsi="Arial Narrow"/>
          <w:noProof/>
        </w:rPr>
        <w:t>20</w:t>
      </w:r>
      <w:r w:rsidRPr="002E3C43">
        <w:rPr>
          <w:rFonts w:ascii="Arial Narrow" w:hAnsi="Arial Narrow"/>
        </w:rPr>
        <w:fldChar w:fldCharType="end"/>
      </w:r>
      <w:bookmarkEnd w:id="103"/>
      <w:r w:rsidRPr="002E3C43">
        <w:rPr>
          <w:rFonts w:ascii="Arial Narrow" w:hAnsi="Arial Narrow"/>
        </w:rPr>
        <w:t>.Annual precipitation for 1998 – 2024 in mm.</w:t>
      </w:r>
      <w:bookmarkEnd w:id="104"/>
    </w:p>
    <w:p w14:paraId="4658F68D" w14:textId="77777777" w:rsidR="00C65F36" w:rsidRPr="009F43CC" w:rsidRDefault="00C65F36" w:rsidP="00C65F36">
      <w:pPr>
        <w:pStyle w:val="BodyText"/>
        <w:ind w:firstLine="0"/>
        <w:rPr>
          <w:rFonts w:ascii="Arial Narrow" w:hAnsi="Arial Narrow"/>
        </w:rPr>
      </w:pPr>
      <w:r>
        <w:rPr>
          <w:rFonts w:ascii="Arial Narrow" w:hAnsi="Arial Narrow"/>
        </w:rPr>
        <w:tab/>
        <w:t>Alt. text. Bar chart showing annual precipitation for years 1998 to 2024 in mm.</w:t>
      </w:r>
    </w:p>
    <w:p w14:paraId="1CBC9082" w14:textId="77777777" w:rsidR="00A103F1" w:rsidRPr="00A103F1" w:rsidRDefault="00A103F1" w:rsidP="00A103F1">
      <w:pPr>
        <w:pStyle w:val="BodyText"/>
      </w:pPr>
      <w:r w:rsidRPr="00A103F1">
        <w:t>From a water</w:t>
      </w:r>
      <w:r w:rsidRPr="00A103F1">
        <w:noBreakHyphen/>
        <w:t>resource perspective, this level of variability supports generally reliable surface</w:t>
      </w:r>
      <w:r w:rsidRPr="00A103F1">
        <w:noBreakHyphen/>
        <w:t>water availability for the Noro–Munda Basin, but management strategies should continue to account for occasional dry months as well as increases in turbidity or short</w:t>
      </w:r>
      <w:r w:rsidRPr="00A103F1">
        <w:noBreakHyphen/>
        <w:t>duration runoff peaks during intense wet</w:t>
      </w:r>
      <w:r w:rsidRPr="00A103F1">
        <w:noBreakHyphen/>
        <w:t>season events.</w:t>
      </w:r>
    </w:p>
    <w:p w14:paraId="78CD6533" w14:textId="77777777" w:rsidR="00C65F36" w:rsidRDefault="00C65F36" w:rsidP="00C65F36">
      <w:pPr>
        <w:pStyle w:val="Head3"/>
      </w:pPr>
      <w:bookmarkStart w:id="105" w:name="_Toc228286034"/>
      <w:r>
        <w:t>Evapotranspiration</w:t>
      </w:r>
      <w:bookmarkEnd w:id="105"/>
    </w:p>
    <w:p w14:paraId="3FC85D5F" w14:textId="77777777" w:rsidR="00956C23" w:rsidRPr="00956C23" w:rsidRDefault="00956C23" w:rsidP="00956C23">
      <w:pPr>
        <w:pStyle w:val="BodyText"/>
      </w:pPr>
      <w:r w:rsidRPr="00956C23">
        <w:t xml:space="preserve">Because precipitation provides the dominant water input to the Noro–Munda hydrologic system, understanding how much of this water is subsequently lost to the atmosphere is essential for evaluating freshwater availability. Evapotranspiration (ET) represents the combined </w:t>
      </w:r>
      <w:r w:rsidRPr="00956C23">
        <w:lastRenderedPageBreak/>
        <w:t>atmospheric water loss from evaporation (soil, water, and surfaces) and transpiration from vegetation (DeJonge and others, 2025), and reflects the interaction of available solar energy, humidity, wind, and land cover. Actual ET, as estimated by the SSEBop model (Senay and others, 2020), represents the portion of potential ET that is realized given the surface and atmospheric conditions.</w:t>
      </w:r>
    </w:p>
    <w:p w14:paraId="7B650832" w14:textId="20A5CB40" w:rsidR="00C65F36" w:rsidRDefault="00956C23" w:rsidP="00C65F36">
      <w:pPr>
        <w:pStyle w:val="BodyText"/>
      </w:pPr>
      <w:r w:rsidRPr="00956C23">
        <w:t>In the Noro–Munda Basin, ET shows noticeable seasonal variability but remains more stable than precipitation throughout the year (</w:t>
      </w:r>
      <w:r w:rsidR="00AF759B">
        <w:fldChar w:fldCharType="begin"/>
      </w:r>
      <w:r w:rsidR="00AF759B">
        <w:instrText xml:space="preserve"> REF _Ref227271872 \h </w:instrText>
      </w:r>
      <w:r w:rsidR="00AF759B">
        <w:fldChar w:fldCharType="separate"/>
      </w:r>
      <w:r w:rsidR="00AF759B" w:rsidRPr="004F1440">
        <w:rPr>
          <w:rFonts w:ascii="Arial Narrow" w:hAnsi="Arial Narrow"/>
        </w:rPr>
        <w:t xml:space="preserve">Figure </w:t>
      </w:r>
      <w:r w:rsidR="00AF759B">
        <w:rPr>
          <w:rFonts w:ascii="Arial Narrow" w:hAnsi="Arial Narrow"/>
          <w:noProof/>
        </w:rPr>
        <w:t>21</w:t>
      </w:r>
      <w:r w:rsidR="00AF759B">
        <w:fldChar w:fldCharType="end"/>
      </w:r>
      <w:r w:rsidRPr="00956C23">
        <w:t>). The region’s rainfall pattern is highly seasonal, with wet</w:t>
      </w:r>
      <w:r w:rsidRPr="00956C23">
        <w:noBreakHyphen/>
        <w:t xml:space="preserve">season peaks typically occurring during </w:t>
      </w:r>
      <w:r w:rsidRPr="00956C23">
        <w:rPr>
          <w:bCs/>
        </w:rPr>
        <w:t>(</w:t>
      </w:r>
      <w:r w:rsidR="0055272E">
        <w:rPr>
          <w:bCs/>
        </w:rPr>
        <w:t>January - May</w:t>
      </w:r>
      <w:r w:rsidRPr="00956C23">
        <w:rPr>
          <w:bCs/>
        </w:rPr>
        <w:t>)</w:t>
      </w:r>
      <w:r w:rsidRPr="00956C23">
        <w:t xml:space="preserve"> and reaching its highest value in </w:t>
      </w:r>
      <w:r w:rsidR="001E29C5">
        <w:t>February with 291</w:t>
      </w:r>
      <w:r w:rsidRPr="00956C23">
        <w:rPr>
          <w:bCs/>
        </w:rPr>
        <w:t xml:space="preserve"> mm</w:t>
      </w:r>
      <w:r w:rsidRPr="00956C23">
        <w:t xml:space="preserve">. The dry season brings markedly reduced precipitation, with the lowest month in </w:t>
      </w:r>
      <w:r w:rsidR="00667AF6">
        <w:t>August</w:t>
      </w:r>
      <w:r w:rsidRPr="00956C23">
        <w:t xml:space="preserve"> receiving </w:t>
      </w:r>
      <w:r w:rsidR="00667AF6">
        <w:rPr>
          <w:bCs/>
        </w:rPr>
        <w:t>74</w:t>
      </w:r>
      <w:r w:rsidRPr="00956C23">
        <w:rPr>
          <w:bCs/>
        </w:rPr>
        <w:t xml:space="preserve"> mm</w:t>
      </w:r>
      <w:r w:rsidRPr="00956C23">
        <w:t xml:space="preserve">. In contrast, monthly actual ET varies within a narrow range, governed primarily by changes in solar radiation, humidity, and cloud cover rather than moisture availability. Actual ET reaches its lowest in </w:t>
      </w:r>
      <w:r w:rsidRPr="00956C23">
        <w:rPr>
          <w:bCs/>
        </w:rPr>
        <w:t>May/June (</w:t>
      </w:r>
      <w:r w:rsidR="000E6EFA">
        <w:rPr>
          <w:bCs/>
        </w:rPr>
        <w:t>51</w:t>
      </w:r>
      <w:r w:rsidRPr="00956C23">
        <w:rPr>
          <w:bCs/>
        </w:rPr>
        <w:t xml:space="preserve"> mm)</w:t>
      </w:r>
      <w:r w:rsidRPr="00956C23">
        <w:t xml:space="preserve"> and its highest in </w:t>
      </w:r>
      <w:r w:rsidRPr="00956C23">
        <w:rPr>
          <w:bCs/>
        </w:rPr>
        <w:t>December/January (</w:t>
      </w:r>
      <w:r w:rsidR="000E6EFA">
        <w:rPr>
          <w:bCs/>
        </w:rPr>
        <w:t>90</w:t>
      </w:r>
      <w:r w:rsidRPr="00956C23">
        <w:rPr>
          <w:bCs/>
        </w:rPr>
        <w:t xml:space="preserve"> mm)</w:t>
      </w:r>
      <w:r w:rsidRPr="00956C23">
        <w:t xml:space="preserve">. ET typically reaches its minimum </w:t>
      </w:r>
      <w:proofErr w:type="gramStart"/>
      <w:r w:rsidRPr="00956C23">
        <w:t>values</w:t>
      </w:r>
      <w:proofErr w:type="gramEnd"/>
      <w:r w:rsidRPr="00956C23">
        <w:t xml:space="preserve"> during the wettest months, when humidity is high and cloud cover reduces evaporative demand, and increases during the drier, sunnier months of the year. This pattern reflects the partially energy</w:t>
      </w:r>
      <w:r w:rsidRPr="00956C23">
        <w:noBreakHyphen/>
        <w:t>limited environment of western New Georgia, where humidity and cloud cover strongly modulate the surface energy balance.</w:t>
      </w:r>
    </w:p>
    <w:p w14:paraId="6DF863E4" w14:textId="7F2BED6C" w:rsidR="00C65F36" w:rsidRPr="00C318A8" w:rsidRDefault="00D803E8" w:rsidP="00C65F36">
      <w:r>
        <w:rPr>
          <w:noProof/>
        </w:rPr>
        <w:lastRenderedPageBreak/>
        <w:drawing>
          <wp:inline distT="0" distB="0" distL="0" distR="0" wp14:anchorId="53404F8E" wp14:editId="77A383FC">
            <wp:extent cx="6127668" cy="3479470"/>
            <wp:effectExtent l="0" t="0" r="6985" b="6985"/>
            <wp:docPr id="879581611" name="Chart 1">
              <a:extLst xmlns:a="http://schemas.openxmlformats.org/drawingml/2006/main">
                <a:ext uri="{FF2B5EF4-FFF2-40B4-BE49-F238E27FC236}">
                  <a16:creationId xmlns:a16="http://schemas.microsoft.com/office/drawing/2014/main" id="{881B5A1F-A4C7-47CE-8031-79A5FF6768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D1D1A3C" w14:textId="1F8DC0C7" w:rsidR="00C65F36" w:rsidRPr="004F1440" w:rsidRDefault="00445579" w:rsidP="00445579">
      <w:pPr>
        <w:pStyle w:val="Caption"/>
        <w:rPr>
          <w:rFonts w:ascii="Arial Narrow" w:hAnsi="Arial Narrow"/>
        </w:rPr>
      </w:pPr>
      <w:bookmarkStart w:id="106" w:name="_Ref227271872"/>
      <w:bookmarkStart w:id="107" w:name="_Toc227691731"/>
      <w:r w:rsidRPr="004F1440">
        <w:rPr>
          <w:rFonts w:ascii="Arial Narrow" w:hAnsi="Arial Narrow"/>
        </w:rPr>
        <w:t xml:space="preserve">Figure </w:t>
      </w:r>
      <w:r w:rsidRPr="004F1440">
        <w:rPr>
          <w:rFonts w:ascii="Arial Narrow" w:hAnsi="Arial Narrow"/>
        </w:rPr>
        <w:fldChar w:fldCharType="begin"/>
      </w:r>
      <w:r w:rsidRPr="004F1440">
        <w:rPr>
          <w:rFonts w:ascii="Arial Narrow" w:hAnsi="Arial Narrow"/>
        </w:rPr>
        <w:instrText xml:space="preserve"> SEQ Figure \* ARABIC </w:instrText>
      </w:r>
      <w:r w:rsidRPr="004F1440">
        <w:rPr>
          <w:rFonts w:ascii="Arial Narrow" w:hAnsi="Arial Narrow"/>
        </w:rPr>
        <w:fldChar w:fldCharType="separate"/>
      </w:r>
      <w:r w:rsidR="00EB6CD8">
        <w:rPr>
          <w:rFonts w:ascii="Arial Narrow" w:hAnsi="Arial Narrow"/>
          <w:noProof/>
        </w:rPr>
        <w:t>21</w:t>
      </w:r>
      <w:r w:rsidRPr="004F1440">
        <w:rPr>
          <w:rFonts w:ascii="Arial Narrow" w:hAnsi="Arial Narrow"/>
        </w:rPr>
        <w:fldChar w:fldCharType="end"/>
      </w:r>
      <w:bookmarkEnd w:id="106"/>
      <w:r w:rsidRPr="004F1440">
        <w:rPr>
          <w:rFonts w:ascii="Arial Narrow" w:hAnsi="Arial Narrow"/>
        </w:rPr>
        <w:t>. Average monthly precipitation and actual ET in mm.</w:t>
      </w:r>
      <w:bookmarkEnd w:id="107"/>
    </w:p>
    <w:p w14:paraId="10846C1B" w14:textId="77777777" w:rsidR="00C65F36" w:rsidRPr="00EA65C9" w:rsidRDefault="00C65F36" w:rsidP="00C65F36">
      <w:pPr>
        <w:pStyle w:val="BodyText"/>
        <w:ind w:firstLine="0"/>
        <w:rPr>
          <w:rFonts w:ascii="Arial Narrow" w:hAnsi="Arial Narrow"/>
        </w:rPr>
      </w:pPr>
      <w:r>
        <w:rPr>
          <w:rFonts w:ascii="Arial Narrow" w:hAnsi="Arial Narrow"/>
        </w:rPr>
        <w:tab/>
        <w:t xml:space="preserve">Alt. text. Area chart </w:t>
      </w:r>
      <w:proofErr w:type="gramStart"/>
      <w:r>
        <w:rPr>
          <w:rFonts w:ascii="Arial Narrow" w:hAnsi="Arial Narrow"/>
        </w:rPr>
        <w:t>showing</w:t>
      </w:r>
      <w:proofErr w:type="gramEnd"/>
      <w:r>
        <w:rPr>
          <w:rFonts w:ascii="Arial Narrow" w:hAnsi="Arial Narrow"/>
        </w:rPr>
        <w:t xml:space="preserve"> the average monthly precipitation in mm with blue hatch lines and actual ET in mm in green (solid).</w:t>
      </w:r>
    </w:p>
    <w:p w14:paraId="1595ED2E" w14:textId="77777777" w:rsidR="004F1440" w:rsidRDefault="004F1440" w:rsidP="00C65F36">
      <w:pPr>
        <w:pStyle w:val="Caption"/>
        <w:rPr>
          <w:iCs w:val="0"/>
          <w:szCs w:val="24"/>
        </w:rPr>
      </w:pPr>
    </w:p>
    <w:p w14:paraId="106DDBE8" w14:textId="498CEC00" w:rsidR="000E6EFA" w:rsidRPr="000E6EFA" w:rsidRDefault="005324B6" w:rsidP="00F213AA">
      <w:pPr>
        <w:ind w:firstLine="720"/>
      </w:pPr>
      <w:r w:rsidRPr="005324B6">
        <w:t>Annual ET totals show similarly limited variability. Across the available record (2013–2025), actual ET varies only modestly from 1</w:t>
      </w:r>
      <w:r>
        <w:t>136</w:t>
      </w:r>
      <w:r w:rsidRPr="005324B6">
        <w:t xml:space="preserve"> mm in 2020 to 1</w:t>
      </w:r>
      <w:r>
        <w:t>288</w:t>
      </w:r>
      <w:r w:rsidRPr="005324B6">
        <w:t xml:space="preserve"> mm in 202</w:t>
      </w:r>
      <w:r w:rsidR="00051439">
        <w:t>5</w:t>
      </w:r>
      <w:r w:rsidRPr="005324B6">
        <w:t xml:space="preserve"> </w:t>
      </w:r>
      <w:r w:rsidR="00051439">
        <w:t>(</w:t>
      </w:r>
      <w:r w:rsidR="00F213AA">
        <w:fldChar w:fldCharType="begin"/>
      </w:r>
      <w:r w:rsidR="00F213AA">
        <w:instrText xml:space="preserve"> REF _Ref227272090 \h </w:instrText>
      </w:r>
      <w:r w:rsidR="00F213AA">
        <w:fldChar w:fldCharType="separate"/>
      </w:r>
      <w:r w:rsidR="00F213AA" w:rsidRPr="00F841C0">
        <w:rPr>
          <w:rFonts w:ascii="Arial Narrow" w:hAnsi="Arial Narrow"/>
        </w:rPr>
        <w:t xml:space="preserve">Figure </w:t>
      </w:r>
      <w:r w:rsidR="00F213AA">
        <w:rPr>
          <w:rFonts w:ascii="Arial Narrow" w:hAnsi="Arial Narrow"/>
          <w:noProof/>
        </w:rPr>
        <w:t>22</w:t>
      </w:r>
      <w:r w:rsidR="00F213AA">
        <w:fldChar w:fldCharType="end"/>
      </w:r>
      <w:r w:rsidRPr="005324B6">
        <w:t>), with annual totals remaining within a relatively narrow band compared to the larger interannual fluctuations in precipitation. This consistency underscores the energy</w:t>
      </w:r>
      <w:r w:rsidRPr="005324B6">
        <w:noBreakHyphen/>
        <w:t>driven nature of ET in the Noro–Munda region and reinforces the dominant role of precipitation in shaping hydrologic surpluses or deficits.</w:t>
      </w:r>
    </w:p>
    <w:p w14:paraId="5AC1CC55" w14:textId="5D1212C5" w:rsidR="004F1440" w:rsidRDefault="00F213AA" w:rsidP="004F1440">
      <w:r>
        <w:rPr>
          <w:noProof/>
        </w:rPr>
        <w:lastRenderedPageBreak/>
        <w:drawing>
          <wp:inline distT="0" distB="0" distL="0" distR="0" wp14:anchorId="1966F95E" wp14:editId="32EA2B8B">
            <wp:extent cx="5943600" cy="2557780"/>
            <wp:effectExtent l="0" t="0" r="0" b="0"/>
            <wp:docPr id="1937801414" name="Chart 1">
              <a:extLst xmlns:a="http://schemas.openxmlformats.org/drawingml/2006/main">
                <a:ext uri="{FF2B5EF4-FFF2-40B4-BE49-F238E27FC236}">
                  <a16:creationId xmlns:a16="http://schemas.microsoft.com/office/drawing/2014/main" id="{8CE60516-D364-4199-9975-5866FD043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E35DA6E" w14:textId="2EA43D39" w:rsidR="00C65F36" w:rsidRPr="00F841C0" w:rsidRDefault="004F1440" w:rsidP="004F1440">
      <w:pPr>
        <w:pStyle w:val="Caption"/>
        <w:rPr>
          <w:rFonts w:ascii="Arial Narrow" w:hAnsi="Arial Narrow"/>
        </w:rPr>
      </w:pPr>
      <w:bookmarkStart w:id="108" w:name="_Ref227272090"/>
      <w:bookmarkStart w:id="109" w:name="_Toc227691732"/>
      <w:r w:rsidRPr="00F841C0">
        <w:rPr>
          <w:rFonts w:ascii="Arial Narrow" w:hAnsi="Arial Narrow"/>
        </w:rPr>
        <w:t xml:space="preserve">Figure </w:t>
      </w:r>
      <w:r w:rsidRPr="00F841C0">
        <w:rPr>
          <w:rFonts w:ascii="Arial Narrow" w:hAnsi="Arial Narrow"/>
        </w:rPr>
        <w:fldChar w:fldCharType="begin"/>
      </w:r>
      <w:r w:rsidRPr="00F841C0">
        <w:rPr>
          <w:rFonts w:ascii="Arial Narrow" w:hAnsi="Arial Narrow"/>
        </w:rPr>
        <w:instrText xml:space="preserve"> SEQ Figure \* ARABIC </w:instrText>
      </w:r>
      <w:r w:rsidRPr="00F841C0">
        <w:rPr>
          <w:rFonts w:ascii="Arial Narrow" w:hAnsi="Arial Narrow"/>
        </w:rPr>
        <w:fldChar w:fldCharType="separate"/>
      </w:r>
      <w:r w:rsidR="00EB6CD8">
        <w:rPr>
          <w:rFonts w:ascii="Arial Narrow" w:hAnsi="Arial Narrow"/>
          <w:noProof/>
        </w:rPr>
        <w:t>22</w:t>
      </w:r>
      <w:r w:rsidRPr="00F841C0">
        <w:rPr>
          <w:rFonts w:ascii="Arial Narrow" w:hAnsi="Arial Narrow"/>
        </w:rPr>
        <w:fldChar w:fldCharType="end"/>
      </w:r>
      <w:bookmarkEnd w:id="108"/>
      <w:r w:rsidRPr="00F841C0">
        <w:rPr>
          <w:rFonts w:ascii="Arial Narrow" w:hAnsi="Arial Narrow"/>
        </w:rPr>
        <w:t>.Annual actual ET for years 2013 - 2025 in mm.</w:t>
      </w:r>
      <w:bookmarkEnd w:id="109"/>
    </w:p>
    <w:p w14:paraId="33098AF3" w14:textId="77777777" w:rsidR="00C65F36" w:rsidRPr="009F43CC" w:rsidRDefault="00C65F36" w:rsidP="00C65F36">
      <w:pPr>
        <w:pStyle w:val="BodyText"/>
        <w:ind w:firstLine="0"/>
        <w:rPr>
          <w:rFonts w:ascii="Arial Narrow" w:hAnsi="Arial Narrow"/>
        </w:rPr>
      </w:pPr>
      <w:r>
        <w:rPr>
          <w:rFonts w:ascii="Arial Narrow" w:hAnsi="Arial Narrow"/>
        </w:rPr>
        <w:tab/>
        <w:t>Alt. text. Bar chart with a</w:t>
      </w:r>
      <w:r w:rsidRPr="00144922">
        <w:rPr>
          <w:rFonts w:ascii="Arial Narrow" w:hAnsi="Arial Narrow"/>
        </w:rPr>
        <w:t>nnual actual ET for years 2013 - 2025 in mm</w:t>
      </w:r>
      <w:r>
        <w:rPr>
          <w:rFonts w:ascii="Arial Narrow" w:hAnsi="Arial Narrow"/>
        </w:rPr>
        <w:t>.</w:t>
      </w:r>
    </w:p>
    <w:p w14:paraId="428B9830" w14:textId="77777777" w:rsidR="00051439" w:rsidRPr="00051439" w:rsidRDefault="00051439" w:rsidP="00051439">
      <w:pPr>
        <w:pStyle w:val="BodyText"/>
      </w:pPr>
      <w:r w:rsidRPr="00051439">
        <w:t>The stability of ET, combined with the region’s high annual rainfall, results in generally reliable hydrologic surpluses that support perennial streamflow, spring discharge, groundwater recharge, and storage. However, because ET remains comparatively steady while precipitation can vary substantially, hydrologic conditions remain highly sensitive to reductions in rainfall during regional drought events. Water</w:t>
      </w:r>
      <w:r w:rsidRPr="00051439">
        <w:noBreakHyphen/>
        <w:t>resource planning should therefore continue to account for seasonal shifts in atmospheric demand, dry</w:t>
      </w:r>
      <w:r w:rsidRPr="00051439">
        <w:noBreakHyphen/>
        <w:t>season precipitation deficits, and the potential need for storage or turbidity management during intense wet</w:t>
      </w:r>
      <w:r w:rsidRPr="00051439">
        <w:noBreakHyphen/>
        <w:t>season storms.</w:t>
      </w:r>
    </w:p>
    <w:p w14:paraId="5C12E53D" w14:textId="77777777" w:rsidR="00C65F36" w:rsidRPr="008418D4" w:rsidRDefault="00C65F36" w:rsidP="008418D4"/>
    <w:p w14:paraId="5BF1331E" w14:textId="77777777" w:rsidR="00C65F36" w:rsidRDefault="00C65F36" w:rsidP="00C65F36">
      <w:pPr>
        <w:pStyle w:val="Head3"/>
      </w:pPr>
      <w:bookmarkStart w:id="110" w:name="_Toc228286035"/>
      <w:r>
        <w:t>Water Balance</w:t>
      </w:r>
      <w:bookmarkEnd w:id="110"/>
    </w:p>
    <w:p w14:paraId="4F42FD8F" w14:textId="51365E0C" w:rsidR="00C65F36" w:rsidRDefault="00C65F36" w:rsidP="00C65F36">
      <w:pPr>
        <w:pStyle w:val="BodyText"/>
      </w:pPr>
      <w:r w:rsidRPr="00E46C96">
        <w:t xml:space="preserve">The water balance, or net water availability, represents the surplus of water remaining after subtracting actual ET from precipitation (P) at monthly and annual scales. </w:t>
      </w:r>
      <w:r>
        <w:t xml:space="preserve">The water balance </w:t>
      </w:r>
      <w:r w:rsidRPr="00E33C63">
        <w:t xml:space="preserve">is computed as </w:t>
      </w:r>
      <w:r>
        <w:t xml:space="preserve">difference between P and ETa (P- </w:t>
      </w:r>
      <w:proofErr w:type="gramStart"/>
      <w:r>
        <w:t>ETa)</w:t>
      </w:r>
      <w:r w:rsidRPr="00E33C63">
        <w:t>)</w:t>
      </w:r>
      <w:proofErr w:type="gramEnd"/>
      <w:r w:rsidRPr="00E33C63">
        <w:t xml:space="preserve"> at monthly and annual scales. </w:t>
      </w:r>
      <w:r>
        <w:t xml:space="preserve"> </w:t>
      </w:r>
      <w:r>
        <w:lastRenderedPageBreak/>
        <w:t xml:space="preserve">Although change in storage can be considered negligible at annual time scales, the monthly water balance does not </w:t>
      </w:r>
      <w:proofErr w:type="gramStart"/>
      <w:r>
        <w:t>take into account</w:t>
      </w:r>
      <w:proofErr w:type="gramEnd"/>
      <w:r>
        <w:t xml:space="preserve"> storage changes in the system and thus should only be consulted as a relative indicator of P and ETa.</w:t>
      </w:r>
    </w:p>
    <w:p w14:paraId="29971D09" w14:textId="51253E95" w:rsidR="00D976B5" w:rsidRPr="00D976B5" w:rsidRDefault="00D976B5" w:rsidP="00D976B5">
      <w:pPr>
        <w:pStyle w:val="BodyText"/>
      </w:pPr>
      <w:r w:rsidRPr="00D976B5">
        <w:t>In the Noro–Munda Basin, monthly net water availability is positive during much of the year but shows substantial seasonal variability, reflecting the strong wet</w:t>
      </w:r>
      <w:r w:rsidRPr="00D976B5">
        <w:noBreakHyphen/>
        <w:t>season/dry</w:t>
      </w:r>
      <w:r w:rsidRPr="00D976B5">
        <w:noBreakHyphen/>
        <w:t>season cycle characteristic of western New Georgia. Net monthly values range from large wet</w:t>
      </w:r>
      <w:r w:rsidRPr="00D976B5">
        <w:noBreakHyphen/>
        <w:t xml:space="preserve">season surpluses, such as </w:t>
      </w:r>
      <w:r w:rsidR="00477D56" w:rsidRPr="00AA21CE">
        <w:t>Febru</w:t>
      </w:r>
      <w:r w:rsidRPr="00D976B5">
        <w:t>ary 20</w:t>
      </w:r>
      <w:r w:rsidR="00477D56" w:rsidRPr="00AA21CE">
        <w:t>20</w:t>
      </w:r>
      <w:r w:rsidRPr="00D976B5">
        <w:t xml:space="preserve"> (</w:t>
      </w:r>
      <w:r w:rsidR="00477D56" w:rsidRPr="00AA21CE">
        <w:t>617</w:t>
      </w:r>
      <w:r w:rsidRPr="00D976B5">
        <w:t xml:space="preserve"> mm), </w:t>
      </w:r>
      <w:r w:rsidR="00477D56" w:rsidRPr="00AA21CE">
        <w:t>January 2015</w:t>
      </w:r>
      <w:r w:rsidRPr="00D976B5">
        <w:t xml:space="preserve"> (</w:t>
      </w:r>
      <w:r w:rsidR="00AA21CE" w:rsidRPr="00AA21CE">
        <w:t>58</w:t>
      </w:r>
      <w:r w:rsidRPr="00D976B5">
        <w:t xml:space="preserve">0 mm), </w:t>
      </w:r>
      <w:r w:rsidR="00AA21CE" w:rsidRPr="00AA21CE">
        <w:t>and March 2013</w:t>
      </w:r>
      <w:r w:rsidRPr="00D976B5">
        <w:t xml:space="preserve"> (</w:t>
      </w:r>
      <w:r w:rsidR="00AA21CE" w:rsidRPr="00AA21CE">
        <w:t>573</w:t>
      </w:r>
      <w:r w:rsidRPr="00D976B5">
        <w:rPr>
          <w:b/>
          <w:bCs/>
        </w:rPr>
        <w:t xml:space="preserve"> </w:t>
      </w:r>
      <w:r w:rsidRPr="00D976B5">
        <w:t xml:space="preserve">mm), to negative values during drier months when ET exceeds precipitation. The </w:t>
      </w:r>
      <w:r w:rsidR="00E648B9">
        <w:t xml:space="preserve">only </w:t>
      </w:r>
      <w:r w:rsidRPr="00D976B5">
        <w:t>deficit</w:t>
      </w:r>
      <w:r w:rsidR="00E648B9">
        <w:t xml:space="preserve"> is </w:t>
      </w:r>
      <w:r w:rsidR="00E648B9" w:rsidRPr="00C4506A">
        <w:t xml:space="preserve">recorded in </w:t>
      </w:r>
      <w:r w:rsidR="00C4506A" w:rsidRPr="00C4506A">
        <w:t>July</w:t>
      </w:r>
      <w:r w:rsidRPr="00D976B5">
        <w:t xml:space="preserve"> 202</w:t>
      </w:r>
      <w:r w:rsidR="00C4506A" w:rsidRPr="00C4506A">
        <w:t>2</w:t>
      </w:r>
      <w:r w:rsidRPr="00D976B5">
        <w:t xml:space="preserve"> (–</w:t>
      </w:r>
      <w:r w:rsidR="00C4506A" w:rsidRPr="00C4506A">
        <w:t>27</w:t>
      </w:r>
      <w:r w:rsidRPr="00D976B5">
        <w:t xml:space="preserve"> mm) (</w:t>
      </w:r>
      <w:r w:rsidR="007A7074">
        <w:fldChar w:fldCharType="begin"/>
      </w:r>
      <w:r w:rsidR="007A7074">
        <w:instrText xml:space="preserve"> REF _Ref227272354 \h </w:instrText>
      </w:r>
      <w:r w:rsidR="007A7074">
        <w:fldChar w:fldCharType="separate"/>
      </w:r>
      <w:r w:rsidR="007A7074" w:rsidRPr="0099585C">
        <w:rPr>
          <w:rFonts w:ascii="Arial Narrow" w:hAnsi="Arial Narrow"/>
        </w:rPr>
        <w:t xml:space="preserve">Figure </w:t>
      </w:r>
      <w:r w:rsidR="007A7074">
        <w:rPr>
          <w:rFonts w:ascii="Arial Narrow" w:hAnsi="Arial Narrow"/>
          <w:noProof/>
        </w:rPr>
        <w:t>23</w:t>
      </w:r>
      <w:r w:rsidR="007A7074">
        <w:fldChar w:fldCharType="end"/>
      </w:r>
      <w:r w:rsidRPr="00D976B5">
        <w:t>). These patterns reflect the region’s seasonal cycle: wet</w:t>
      </w:r>
      <w:r w:rsidRPr="00D976B5">
        <w:noBreakHyphen/>
        <w:t xml:space="preserve">season months (typically </w:t>
      </w:r>
      <w:r w:rsidR="00827D54" w:rsidRPr="00827D54">
        <w:t>January</w:t>
      </w:r>
      <w:r w:rsidRPr="00D976B5">
        <w:t>–</w:t>
      </w:r>
      <w:r w:rsidR="00827D54" w:rsidRPr="00827D54">
        <w:t>May</w:t>
      </w:r>
      <w:r w:rsidRPr="00D976B5">
        <w:t>, depending on regional monsoon onset) commonly produce surpluses exceeding 100–</w:t>
      </w:r>
      <w:r w:rsidR="00827D54" w:rsidRPr="00827D54">
        <w:t>4</w:t>
      </w:r>
      <w:r w:rsidRPr="00D976B5">
        <w:t>00 mm, whereas dry</w:t>
      </w:r>
      <w:r w:rsidRPr="00D976B5">
        <w:noBreakHyphen/>
        <w:t>season months (typically May–September) frequently show reduced surpluses or temporary deficits.</w:t>
      </w:r>
    </w:p>
    <w:p w14:paraId="7905F33D" w14:textId="5F7A8CD2" w:rsidR="00C65F36" w:rsidRDefault="00C65F36" w:rsidP="00C65F36">
      <w:pPr>
        <w:pStyle w:val="Caption"/>
        <w:rPr>
          <w:rFonts w:ascii="Arial Narrow" w:hAnsi="Arial Narrow"/>
        </w:rPr>
      </w:pPr>
    </w:p>
    <w:p w14:paraId="28B90B1A" w14:textId="7DE6156A" w:rsidR="007A7074" w:rsidRPr="007A7074" w:rsidRDefault="00BC5845" w:rsidP="007A7074">
      <w:r>
        <w:rPr>
          <w:noProof/>
        </w:rPr>
        <w:drawing>
          <wp:inline distT="0" distB="0" distL="0" distR="0" wp14:anchorId="6601BCD0" wp14:editId="328F3569">
            <wp:extent cx="5943600" cy="3511550"/>
            <wp:effectExtent l="0" t="0" r="0" b="0"/>
            <wp:docPr id="927585898" name="Chart 1">
              <a:extLst xmlns:a="http://schemas.openxmlformats.org/drawingml/2006/main">
                <a:ext uri="{FF2B5EF4-FFF2-40B4-BE49-F238E27FC236}">
                  <a16:creationId xmlns:a16="http://schemas.microsoft.com/office/drawing/2014/main" id="{532655A4-04C0-42BF-A0DD-8613CA3CDE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CB37F9A" w14:textId="51884FAB" w:rsidR="00F841C0" w:rsidRPr="0099585C" w:rsidRDefault="00F841C0" w:rsidP="00F841C0">
      <w:pPr>
        <w:pStyle w:val="Caption"/>
        <w:rPr>
          <w:rFonts w:ascii="Arial Narrow" w:hAnsi="Arial Narrow"/>
        </w:rPr>
      </w:pPr>
      <w:bookmarkStart w:id="111" w:name="_Ref227272354"/>
      <w:bookmarkStart w:id="112" w:name="_Toc227691733"/>
      <w:r w:rsidRPr="0099585C">
        <w:rPr>
          <w:rFonts w:ascii="Arial Narrow" w:hAnsi="Arial Narrow"/>
        </w:rPr>
        <w:lastRenderedPageBreak/>
        <w:t xml:space="preserve">Figure </w:t>
      </w:r>
      <w:r w:rsidRPr="0099585C">
        <w:rPr>
          <w:rFonts w:ascii="Arial Narrow" w:hAnsi="Arial Narrow"/>
        </w:rPr>
        <w:fldChar w:fldCharType="begin"/>
      </w:r>
      <w:r w:rsidRPr="0099585C">
        <w:rPr>
          <w:rFonts w:ascii="Arial Narrow" w:hAnsi="Arial Narrow"/>
        </w:rPr>
        <w:instrText xml:space="preserve"> SEQ Figure \* ARABIC </w:instrText>
      </w:r>
      <w:r w:rsidRPr="0099585C">
        <w:rPr>
          <w:rFonts w:ascii="Arial Narrow" w:hAnsi="Arial Narrow"/>
        </w:rPr>
        <w:fldChar w:fldCharType="separate"/>
      </w:r>
      <w:r w:rsidR="00EB6CD8">
        <w:rPr>
          <w:rFonts w:ascii="Arial Narrow" w:hAnsi="Arial Narrow"/>
          <w:noProof/>
        </w:rPr>
        <w:t>23</w:t>
      </w:r>
      <w:r w:rsidRPr="0099585C">
        <w:rPr>
          <w:rFonts w:ascii="Arial Narrow" w:hAnsi="Arial Narrow"/>
        </w:rPr>
        <w:fldChar w:fldCharType="end"/>
      </w:r>
      <w:bookmarkEnd w:id="111"/>
      <w:r w:rsidRPr="0099585C">
        <w:rPr>
          <w:rFonts w:ascii="Arial Narrow" w:hAnsi="Arial Narrow"/>
        </w:rPr>
        <w:t>.Monthly net water availability for years 2012 - 2025 in mm.</w:t>
      </w:r>
      <w:bookmarkEnd w:id="112"/>
    </w:p>
    <w:p w14:paraId="74516B52" w14:textId="77777777" w:rsidR="00C65F36" w:rsidRPr="00AF309D" w:rsidRDefault="00C65F36" w:rsidP="00C65F36">
      <w:pPr>
        <w:pStyle w:val="BodyText"/>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7267198C" w14:textId="4E00E379" w:rsidR="00D538A3" w:rsidRPr="00D538A3" w:rsidRDefault="00D538A3" w:rsidP="00D538A3">
      <w:pPr>
        <w:pStyle w:val="BodyText"/>
      </w:pPr>
      <w:r w:rsidRPr="00D538A3">
        <w:t xml:space="preserve">At the annual scale, Noro–Munda’s net water availability ranges from a low of approximately </w:t>
      </w:r>
      <w:r w:rsidR="00F45D82">
        <w:t>2085</w:t>
      </w:r>
      <w:r w:rsidRPr="00D538A3">
        <w:t xml:space="preserve"> mm in 201</w:t>
      </w:r>
      <w:r w:rsidR="00F45D82">
        <w:t>3</w:t>
      </w:r>
      <w:r w:rsidRPr="00D538A3">
        <w:t xml:space="preserve"> to a high of approximately </w:t>
      </w:r>
      <w:r w:rsidR="00F45D82">
        <w:t>3332</w:t>
      </w:r>
      <w:r w:rsidRPr="00D538A3">
        <w:t xml:space="preserve"> mm in 202</w:t>
      </w:r>
      <w:r w:rsidR="00F45D82">
        <w:t>3</w:t>
      </w:r>
      <w:r w:rsidRPr="00D538A3">
        <w:t xml:space="preserve"> (</w:t>
      </w:r>
      <w:r w:rsidR="006623C4">
        <w:fldChar w:fldCharType="begin"/>
      </w:r>
      <w:r w:rsidR="006623C4">
        <w:instrText xml:space="preserve"> REF _Ref227272595 \h </w:instrText>
      </w:r>
      <w:r w:rsidR="006623C4">
        <w:fldChar w:fldCharType="separate"/>
      </w:r>
      <w:r w:rsidR="006623C4" w:rsidRPr="00EF4A1B">
        <w:rPr>
          <w:rFonts w:ascii="Arial Narrow" w:hAnsi="Arial Narrow"/>
        </w:rPr>
        <w:t xml:space="preserve">Figure </w:t>
      </w:r>
      <w:r w:rsidR="006623C4">
        <w:rPr>
          <w:rFonts w:ascii="Arial Narrow" w:hAnsi="Arial Narrow"/>
          <w:noProof/>
        </w:rPr>
        <w:t>24</w:t>
      </w:r>
      <w:r w:rsidR="006623C4">
        <w:fldChar w:fldCharType="end"/>
      </w:r>
      <w:r w:rsidRPr="00D538A3">
        <w:t>). Other notable annual surpluses include 20</w:t>
      </w:r>
      <w:r w:rsidR="00056789">
        <w:t>20</w:t>
      </w:r>
      <w:r w:rsidRPr="00D538A3">
        <w:t xml:space="preserve"> (</w:t>
      </w:r>
      <w:r w:rsidR="00056789">
        <w:t>3183</w:t>
      </w:r>
      <w:r w:rsidRPr="00D538A3">
        <w:t xml:space="preserve"> mm) and 20</w:t>
      </w:r>
      <w:r w:rsidR="00407A12">
        <w:t>15</w:t>
      </w:r>
      <w:r w:rsidRPr="00D538A3">
        <w:t xml:space="preserve"> (</w:t>
      </w:r>
      <w:r w:rsidR="00407A12">
        <w:t>3119</w:t>
      </w:r>
      <w:r w:rsidRPr="00D538A3">
        <w:t xml:space="preserve"> mm). Across the most recent five</w:t>
      </w:r>
      <w:r w:rsidRPr="00D538A3">
        <w:noBreakHyphen/>
        <w:t xml:space="preserve">year period (2020–2024), the mean annual net water is approximately </w:t>
      </w:r>
      <w:r w:rsidR="00CA6E71">
        <w:t>2933</w:t>
      </w:r>
      <w:r w:rsidRPr="00D538A3">
        <w:t xml:space="preserve"> mm/yr, indicating a consistent moderate surplus relative to extremely high</w:t>
      </w:r>
      <w:r w:rsidRPr="00D538A3">
        <w:noBreakHyphen/>
        <w:t>rainfall areas elsewhere in the Pacific.</w:t>
      </w:r>
    </w:p>
    <w:p w14:paraId="3E93C39D" w14:textId="7ED07432" w:rsidR="0099585C" w:rsidRDefault="00BC5845" w:rsidP="006623C4">
      <w:pPr>
        <w:pStyle w:val="BodyText"/>
        <w:ind w:firstLine="0"/>
      </w:pPr>
      <w:r>
        <w:rPr>
          <w:noProof/>
        </w:rPr>
        <w:drawing>
          <wp:inline distT="0" distB="0" distL="0" distR="0" wp14:anchorId="1AC16CC8" wp14:editId="51D92EDD">
            <wp:extent cx="5943600" cy="2936240"/>
            <wp:effectExtent l="0" t="0" r="0" b="0"/>
            <wp:docPr id="2090397777" name="Chart 1">
              <a:extLst xmlns:a="http://schemas.openxmlformats.org/drawingml/2006/main">
                <a:ext uri="{FF2B5EF4-FFF2-40B4-BE49-F238E27FC236}">
                  <a16:creationId xmlns:a16="http://schemas.microsoft.com/office/drawing/2014/main" id="{DBFDB386-39DF-46BA-A9D3-C8FBF1CFC6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A499CD3" w14:textId="3D3EFC71" w:rsidR="00C65F36" w:rsidRPr="00EF4A1B" w:rsidRDefault="00EF4A1B" w:rsidP="00EF4A1B">
      <w:pPr>
        <w:pStyle w:val="Caption"/>
        <w:rPr>
          <w:rFonts w:ascii="Arial Narrow" w:hAnsi="Arial Narrow"/>
        </w:rPr>
      </w:pPr>
      <w:bookmarkStart w:id="113" w:name="_Ref227272595"/>
      <w:bookmarkStart w:id="114" w:name="_Toc227691734"/>
      <w:r w:rsidRPr="00EF4A1B">
        <w:rPr>
          <w:rFonts w:ascii="Arial Narrow" w:hAnsi="Arial Narrow"/>
        </w:rPr>
        <w:t xml:space="preserve">Figure </w:t>
      </w:r>
      <w:r w:rsidRPr="00EF4A1B">
        <w:rPr>
          <w:rFonts w:ascii="Arial Narrow" w:hAnsi="Arial Narrow"/>
        </w:rPr>
        <w:fldChar w:fldCharType="begin"/>
      </w:r>
      <w:r w:rsidRPr="00EF4A1B">
        <w:rPr>
          <w:rFonts w:ascii="Arial Narrow" w:hAnsi="Arial Narrow"/>
        </w:rPr>
        <w:instrText xml:space="preserve"> SEQ Figure \* ARABIC </w:instrText>
      </w:r>
      <w:r w:rsidRPr="00EF4A1B">
        <w:rPr>
          <w:rFonts w:ascii="Arial Narrow" w:hAnsi="Arial Narrow"/>
        </w:rPr>
        <w:fldChar w:fldCharType="separate"/>
      </w:r>
      <w:r w:rsidR="00EB6CD8">
        <w:rPr>
          <w:rFonts w:ascii="Arial Narrow" w:hAnsi="Arial Narrow"/>
          <w:noProof/>
        </w:rPr>
        <w:t>24</w:t>
      </w:r>
      <w:r w:rsidRPr="00EF4A1B">
        <w:rPr>
          <w:rFonts w:ascii="Arial Narrow" w:hAnsi="Arial Narrow"/>
        </w:rPr>
        <w:fldChar w:fldCharType="end"/>
      </w:r>
      <w:bookmarkEnd w:id="113"/>
      <w:r w:rsidRPr="00EF4A1B">
        <w:rPr>
          <w:rFonts w:ascii="Arial Narrow" w:hAnsi="Arial Narrow"/>
        </w:rPr>
        <w:t>.Net water availability per year in mm.</w:t>
      </w:r>
      <w:bookmarkEnd w:id="114"/>
    </w:p>
    <w:p w14:paraId="75125318" w14:textId="77777777" w:rsidR="00C65F36" w:rsidRDefault="00C65F36" w:rsidP="00C65F36">
      <w:pPr>
        <w:pStyle w:val="BodyText"/>
        <w:ind w:left="720" w:firstLine="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39FE24CC" w14:textId="77777777" w:rsidR="006317A2" w:rsidRPr="006317A2" w:rsidRDefault="006317A2" w:rsidP="006317A2">
      <w:pPr>
        <w:pStyle w:val="BodyText"/>
      </w:pPr>
      <w:r w:rsidRPr="006317A2">
        <w:t>Overall, the combination of substantial wet</w:t>
      </w:r>
      <w:r w:rsidRPr="006317A2">
        <w:noBreakHyphen/>
        <w:t xml:space="preserve">season surpluses and relatively stable ET supports reliable annual freshwater availability for the Noro–Munda Basin. However, the recurrence of negative monthly values during the dry season highlights the importance of </w:t>
      </w:r>
      <w:r w:rsidRPr="006317A2">
        <w:lastRenderedPageBreak/>
        <w:t>monitoring short</w:t>
      </w:r>
      <w:r w:rsidRPr="006317A2">
        <w:noBreakHyphen/>
        <w:t>term deficits, ensuring adequate storage capacity, and preparing for turbidity spikes or rapid runoff during intense wet</w:t>
      </w:r>
      <w:r w:rsidRPr="006317A2">
        <w:noBreakHyphen/>
        <w:t>season rainfall events.</w:t>
      </w:r>
    </w:p>
    <w:p w14:paraId="48E432CC" w14:textId="77777777" w:rsidR="006317A2" w:rsidRDefault="006317A2" w:rsidP="00C65F36">
      <w:pPr>
        <w:pStyle w:val="BodyText"/>
        <w:ind w:left="720" w:firstLine="0"/>
        <w:rPr>
          <w:rFonts w:ascii="Arial Narrow" w:hAnsi="Arial Narrow"/>
        </w:rPr>
      </w:pPr>
    </w:p>
    <w:p w14:paraId="16E8F0F1" w14:textId="7C6405A8" w:rsidR="00D94260" w:rsidRDefault="00D94260" w:rsidP="00D94260">
      <w:pPr>
        <w:pStyle w:val="Head3"/>
      </w:pPr>
      <w:bookmarkStart w:id="115" w:name="_Toc228286036"/>
      <w:r w:rsidRPr="00AB771E">
        <w:t>Drought Monitoring</w:t>
      </w:r>
      <w:bookmarkEnd w:id="115"/>
    </w:p>
    <w:p w14:paraId="1FEB64FA" w14:textId="6896C52D" w:rsidR="004678D6" w:rsidRDefault="00075D7F" w:rsidP="005756D8">
      <w:pPr>
        <w:pStyle w:val="Head4"/>
      </w:pPr>
      <w:bookmarkStart w:id="116" w:name="_Toc228286037"/>
      <w:r w:rsidRPr="00075D7F">
        <w:t>Munda</w:t>
      </w:r>
      <w:bookmarkEnd w:id="116"/>
    </w:p>
    <w:p w14:paraId="5B16AF86" w14:textId="77777777" w:rsidR="003B232F" w:rsidRDefault="003B232F" w:rsidP="003B232F">
      <w:pPr>
        <w:rPr>
          <w:rFonts w:ascii="Arial" w:hAnsi="Arial" w:cs="Arial"/>
          <w:i/>
          <w:iCs/>
          <w:sz w:val="22"/>
          <w:szCs w:val="22"/>
        </w:rPr>
      </w:pPr>
      <w:r w:rsidRPr="00E86A5D">
        <w:rPr>
          <w:rFonts w:ascii="Arial" w:hAnsi="Arial" w:cs="Arial"/>
          <w:i/>
          <w:iCs/>
          <w:sz w:val="22"/>
          <w:szCs w:val="22"/>
        </w:rPr>
        <w:t>Rainfall Index</w:t>
      </w:r>
    </w:p>
    <w:p w14:paraId="0C8B8546" w14:textId="6DF799DD" w:rsidR="00CF2C46" w:rsidRDefault="00CF2C46" w:rsidP="00876072">
      <w:r>
        <w:rPr>
          <w:rFonts w:eastAsia="Times New Roman" w:cs="Times New Roman"/>
        </w:rPr>
        <w:t>The Munda Rainfall Index record (</w:t>
      </w:r>
      <w:r w:rsidR="005756D8">
        <w:rPr>
          <w:rFonts w:eastAsia="Times New Roman" w:cs="Times New Roman"/>
        </w:rPr>
        <w:fldChar w:fldCharType="begin"/>
      </w:r>
      <w:r w:rsidR="005756D8">
        <w:rPr>
          <w:rFonts w:eastAsia="Times New Roman" w:cs="Times New Roman"/>
        </w:rPr>
        <w:instrText xml:space="preserve"> REF _Ref227611656 \h </w:instrText>
      </w:r>
      <w:r w:rsidR="005756D8">
        <w:rPr>
          <w:rFonts w:eastAsia="Times New Roman" w:cs="Times New Roman"/>
        </w:rPr>
      </w:r>
      <w:r w:rsidR="005756D8">
        <w:rPr>
          <w:rFonts w:eastAsia="Times New Roman" w:cs="Times New Roman"/>
        </w:rPr>
        <w:fldChar w:fldCharType="separate"/>
      </w:r>
      <w:r w:rsidR="005756D8">
        <w:t xml:space="preserve">Figure </w:t>
      </w:r>
      <w:r w:rsidR="005756D8">
        <w:rPr>
          <w:noProof/>
        </w:rPr>
        <w:t>25</w:t>
      </w:r>
      <w:r w:rsidR="005756D8">
        <w:rPr>
          <w:rFonts w:eastAsia="Times New Roman" w:cs="Times New Roman"/>
        </w:rPr>
        <w:fldChar w:fldCharType="end"/>
      </w:r>
      <w:r>
        <w:rPr>
          <w:rFonts w:eastAsia="Times New Roman" w:cs="Times New Roman"/>
        </w:rPr>
        <w:t>) shows Drier classifications in 62 of 314 months (20 percent) and Dry in 64 months (20 percent) at the 1-month timescale. The PEAC index classified only 8 months (3 percent) as Red and 87 (28 percent) as Yellow, indicating that absolute water supply inadequacy is uncommon. At the 6-month timescale, 60 months were Drier and 63 were Dry.</w:t>
      </w:r>
    </w:p>
    <w:p w14:paraId="32E9605A" w14:textId="77777777" w:rsidR="007333C6" w:rsidRDefault="00CF2C46" w:rsidP="007333C6">
      <w:pPr>
        <w:keepNext/>
        <w:spacing w:before="160" w:after="60"/>
        <w:jc w:val="center"/>
      </w:pPr>
      <w:r>
        <w:rPr>
          <w:noProof/>
        </w:rPr>
        <w:lastRenderedPageBreak/>
        <w:drawing>
          <wp:inline distT="0" distB="0" distL="0" distR="0" wp14:anchorId="11081340" wp14:editId="7DD7473A">
            <wp:extent cx="5715000" cy="4953000"/>
            <wp:effectExtent l="0" t="0" r="0" b="0"/>
            <wp:docPr id="211439444" name="Munda RI Time Series" descr="Three-panel Rainfall Index for Munda." title="Munda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srcRect/>
                    <a:stretch>
                      <a:fillRect/>
                    </a:stretch>
                  </pic:blipFill>
                  <pic:spPr bwMode="auto">
                    <a:xfrm>
                      <a:off x="0" y="0"/>
                      <a:ext cx="5715000" cy="4953000"/>
                    </a:xfrm>
                    <a:prstGeom prst="rect">
                      <a:avLst/>
                    </a:prstGeom>
                  </pic:spPr>
                </pic:pic>
              </a:graphicData>
            </a:graphic>
          </wp:inline>
        </w:drawing>
      </w:r>
    </w:p>
    <w:p w14:paraId="5F8484E7" w14:textId="54E5FDA4" w:rsidR="00CF2C46" w:rsidRDefault="007333C6" w:rsidP="00876072">
      <w:pPr>
        <w:pStyle w:val="Caption"/>
      </w:pPr>
      <w:bookmarkStart w:id="117" w:name="_Ref227611656"/>
      <w:bookmarkStart w:id="118" w:name="_Toc227691735"/>
      <w:r>
        <w:t xml:space="preserve">Figure </w:t>
      </w:r>
      <w:r>
        <w:fldChar w:fldCharType="begin"/>
      </w:r>
      <w:r>
        <w:instrText xml:space="preserve"> SEQ Figure \* ARABIC </w:instrText>
      </w:r>
      <w:r>
        <w:fldChar w:fldCharType="separate"/>
      </w:r>
      <w:r w:rsidR="00EB6CD8">
        <w:rPr>
          <w:noProof/>
        </w:rPr>
        <w:t>25</w:t>
      </w:r>
      <w:r>
        <w:fldChar w:fldCharType="end"/>
      </w:r>
      <w:bookmarkEnd w:id="117"/>
      <w:r>
        <w:t xml:space="preserve">. </w:t>
      </w:r>
      <w:r w:rsidRPr="004D3FCF">
        <w:t>Quintile-based Rainfall Index time series for Munda showing (A) 1-month, (B) 3-month, and (C) 6-month accumulation windows.</w:t>
      </w:r>
      <w:bookmarkEnd w:id="118"/>
    </w:p>
    <w:p w14:paraId="57DF5FA8" w14:textId="270432B2" w:rsidR="00CF2C46" w:rsidRPr="007C5B27" w:rsidRDefault="00CF2C46" w:rsidP="001F7090">
      <w:pPr>
        <w:spacing w:before="240" w:after="120"/>
        <w:rPr>
          <w:rFonts w:ascii="Arial" w:hAnsi="Arial" w:cs="Arial"/>
          <w:i/>
          <w:iCs/>
          <w:sz w:val="22"/>
          <w:szCs w:val="22"/>
        </w:rPr>
      </w:pPr>
      <w:r w:rsidRPr="007C5B27">
        <w:rPr>
          <w:rFonts w:ascii="Arial" w:hAnsi="Arial" w:cs="Arial"/>
          <w:i/>
          <w:iCs/>
          <w:sz w:val="22"/>
          <w:szCs w:val="22"/>
        </w:rPr>
        <w:t>Notable Drought Episodes</w:t>
      </w:r>
    </w:p>
    <w:p w14:paraId="2F658D51" w14:textId="1DF25BCD" w:rsidR="00CF2C46" w:rsidRDefault="00CF2C46" w:rsidP="001F7090">
      <w:r>
        <w:rPr>
          <w:rFonts w:eastAsia="Times New Roman" w:cs="Times New Roman"/>
        </w:rPr>
        <w:t xml:space="preserve">The longest drought episode at Munda was a 6-month event from November 2006 through April 2007, with 3 Drier months at the 1-month timescale and 5 Drier months at the 3-month window. Despite the duration, no PEAC-Red months occurred because even the minimum monthly precipitation (105.0 </w:t>
      </w:r>
      <w:r w:rsidR="007C5B27">
        <w:rPr>
          <w:rFonts w:eastAsia="Times New Roman" w:cs="Times New Roman"/>
        </w:rPr>
        <w:t>mm</w:t>
      </w:r>
      <w:r>
        <w:rPr>
          <w:rFonts w:eastAsia="Times New Roman" w:cs="Times New Roman"/>
        </w:rPr>
        <w:t xml:space="preserve">) remained above the 4-inch threshold. A 5-month event from July through November 2003 and a 4-month event from November 2002 through February 2003 both </w:t>
      </w:r>
      <w:r>
        <w:rPr>
          <w:rFonts w:eastAsia="Times New Roman" w:cs="Times New Roman"/>
        </w:rPr>
        <w:lastRenderedPageBreak/>
        <w:t xml:space="preserve">produced Drier classifications at the 6-month window for all months, indicating sustained cumulative deficits. The most recent notable episode, July through October 2022 (4 months, minimum 37.0 </w:t>
      </w:r>
      <w:r w:rsidR="007C5B27">
        <w:rPr>
          <w:rFonts w:eastAsia="Times New Roman" w:cs="Times New Roman"/>
        </w:rPr>
        <w:t>mm</w:t>
      </w:r>
      <w:r>
        <w:rPr>
          <w:rFonts w:eastAsia="Times New Roman" w:cs="Times New Roman"/>
        </w:rPr>
        <w:t>, 1 PEAC-Red), produced the lowest single-month precipitation in the Munda drought record.</w:t>
      </w:r>
    </w:p>
    <w:p w14:paraId="2AF7BD0F" w14:textId="709FBE80" w:rsidR="00CF2C46" w:rsidRPr="00D157C3" w:rsidRDefault="00CF2C46" w:rsidP="00D157C3">
      <w:pPr>
        <w:pStyle w:val="Caption"/>
        <w:keepNext/>
        <w:rPr>
          <w:rFonts w:ascii="Arial Narrow" w:hAnsi="Arial Narrow"/>
          <w:szCs w:val="24"/>
        </w:rPr>
      </w:pPr>
      <w:bookmarkStart w:id="119" w:name="_Toc228285975"/>
      <w:r w:rsidRPr="00D157C3">
        <w:rPr>
          <w:rFonts w:ascii="Arial Narrow" w:hAnsi="Arial Narrow"/>
          <w:szCs w:val="24"/>
        </w:rPr>
        <w:t xml:space="preserve">Table </w:t>
      </w:r>
      <w:r w:rsidRPr="00D157C3">
        <w:rPr>
          <w:rFonts w:ascii="Arial Narrow" w:hAnsi="Arial Narrow"/>
          <w:szCs w:val="24"/>
        </w:rPr>
        <w:fldChar w:fldCharType="begin"/>
      </w:r>
      <w:r w:rsidRPr="00D157C3">
        <w:rPr>
          <w:rFonts w:ascii="Arial Narrow" w:hAnsi="Arial Narrow"/>
          <w:szCs w:val="24"/>
        </w:rPr>
        <w:instrText xml:space="preserve"> SEQ Table \* ARABIC </w:instrText>
      </w:r>
      <w:r w:rsidRPr="00D157C3">
        <w:rPr>
          <w:rFonts w:ascii="Arial Narrow" w:hAnsi="Arial Narrow"/>
          <w:szCs w:val="24"/>
        </w:rPr>
        <w:fldChar w:fldCharType="separate"/>
      </w:r>
      <w:r w:rsidR="00C93E55">
        <w:rPr>
          <w:rFonts w:ascii="Arial Narrow" w:hAnsi="Arial Narrow"/>
          <w:noProof/>
          <w:szCs w:val="24"/>
        </w:rPr>
        <w:t>9</w:t>
      </w:r>
      <w:r w:rsidRPr="00D157C3">
        <w:rPr>
          <w:rFonts w:ascii="Arial Narrow" w:hAnsi="Arial Narrow"/>
          <w:szCs w:val="24"/>
        </w:rPr>
        <w:fldChar w:fldCharType="end"/>
      </w:r>
      <w:r w:rsidRPr="00D157C3">
        <w:rPr>
          <w:rFonts w:ascii="Arial Narrow" w:hAnsi="Arial Narrow"/>
          <w:szCs w:val="24"/>
        </w:rPr>
        <w:t>. Summary of notable drought episodes at Munda.</w:t>
      </w:r>
      <w:bookmarkEnd w:id="119"/>
    </w:p>
    <w:tbl>
      <w:tblPr>
        <w:tblStyle w:val="TableGrid"/>
        <w:tblW w:w="9360" w:type="dxa"/>
        <w:tblLook w:val="04A0" w:firstRow="1" w:lastRow="0" w:firstColumn="1" w:lastColumn="0" w:noHBand="0" w:noVBand="1"/>
      </w:tblPr>
      <w:tblGrid>
        <w:gridCol w:w="2335"/>
        <w:gridCol w:w="1465"/>
        <w:gridCol w:w="1800"/>
        <w:gridCol w:w="1400"/>
        <w:gridCol w:w="2360"/>
      </w:tblGrid>
      <w:tr w:rsidR="00D157C3" w:rsidRPr="00D157C3" w14:paraId="3F583621" w14:textId="77777777" w:rsidTr="00D157C3">
        <w:tc>
          <w:tcPr>
            <w:tcW w:w="2335" w:type="dxa"/>
          </w:tcPr>
          <w:p w14:paraId="65EB3BBC"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b/>
                <w:bCs/>
              </w:rPr>
              <w:t>Episode</w:t>
            </w:r>
          </w:p>
        </w:tc>
        <w:tc>
          <w:tcPr>
            <w:tcW w:w="1465" w:type="dxa"/>
          </w:tcPr>
          <w:p w14:paraId="0C5F76F0"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b/>
                <w:bCs/>
              </w:rPr>
              <w:t>Duration (months)</w:t>
            </w:r>
          </w:p>
        </w:tc>
        <w:tc>
          <w:tcPr>
            <w:tcW w:w="1800" w:type="dxa"/>
          </w:tcPr>
          <w:p w14:paraId="45628E48"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b/>
                <w:bCs/>
              </w:rPr>
              <w:t>Drier Months (1-mo)</w:t>
            </w:r>
          </w:p>
        </w:tc>
        <w:tc>
          <w:tcPr>
            <w:tcW w:w="1400" w:type="dxa"/>
          </w:tcPr>
          <w:p w14:paraId="70F949BA"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b/>
                <w:bCs/>
              </w:rPr>
              <w:t>PEAC-Red</w:t>
            </w:r>
          </w:p>
        </w:tc>
        <w:tc>
          <w:tcPr>
            <w:tcW w:w="2360" w:type="dxa"/>
          </w:tcPr>
          <w:p w14:paraId="268E6227"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b/>
                <w:bCs/>
              </w:rPr>
              <w:t>Min Precip. (mm)</w:t>
            </w:r>
          </w:p>
        </w:tc>
      </w:tr>
      <w:tr w:rsidR="00D157C3" w:rsidRPr="00D157C3" w14:paraId="4A92E77D" w14:textId="77777777" w:rsidTr="00D157C3">
        <w:tc>
          <w:tcPr>
            <w:tcW w:w="2335" w:type="dxa"/>
          </w:tcPr>
          <w:p w14:paraId="3621602A"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Nov 2006 – Apr 2007</w:t>
            </w:r>
          </w:p>
        </w:tc>
        <w:tc>
          <w:tcPr>
            <w:tcW w:w="1465" w:type="dxa"/>
          </w:tcPr>
          <w:p w14:paraId="3972EC5F"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6</w:t>
            </w:r>
          </w:p>
        </w:tc>
        <w:tc>
          <w:tcPr>
            <w:tcW w:w="1800" w:type="dxa"/>
          </w:tcPr>
          <w:p w14:paraId="08E2CC6F"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3</w:t>
            </w:r>
          </w:p>
        </w:tc>
        <w:tc>
          <w:tcPr>
            <w:tcW w:w="1400" w:type="dxa"/>
          </w:tcPr>
          <w:p w14:paraId="7FC98295"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0</w:t>
            </w:r>
          </w:p>
        </w:tc>
        <w:tc>
          <w:tcPr>
            <w:tcW w:w="2360" w:type="dxa"/>
          </w:tcPr>
          <w:p w14:paraId="70A37A2C"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105.0</w:t>
            </w:r>
          </w:p>
        </w:tc>
      </w:tr>
      <w:tr w:rsidR="00D157C3" w:rsidRPr="00D157C3" w14:paraId="52A59A22" w14:textId="77777777" w:rsidTr="00D157C3">
        <w:tc>
          <w:tcPr>
            <w:tcW w:w="2335" w:type="dxa"/>
          </w:tcPr>
          <w:p w14:paraId="00C789D8"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Jul 2003 – Nov 2003</w:t>
            </w:r>
          </w:p>
        </w:tc>
        <w:tc>
          <w:tcPr>
            <w:tcW w:w="1465" w:type="dxa"/>
          </w:tcPr>
          <w:p w14:paraId="01FFD85F"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5</w:t>
            </w:r>
          </w:p>
        </w:tc>
        <w:tc>
          <w:tcPr>
            <w:tcW w:w="1800" w:type="dxa"/>
          </w:tcPr>
          <w:p w14:paraId="4F1C7121"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w:t>
            </w:r>
          </w:p>
        </w:tc>
        <w:tc>
          <w:tcPr>
            <w:tcW w:w="1400" w:type="dxa"/>
          </w:tcPr>
          <w:p w14:paraId="112CE24E"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w:t>
            </w:r>
          </w:p>
        </w:tc>
        <w:tc>
          <w:tcPr>
            <w:tcW w:w="2360" w:type="dxa"/>
          </w:tcPr>
          <w:p w14:paraId="01F2975E"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66.0</w:t>
            </w:r>
          </w:p>
        </w:tc>
      </w:tr>
      <w:tr w:rsidR="00D157C3" w:rsidRPr="00D157C3" w14:paraId="7E6B4C86" w14:textId="77777777" w:rsidTr="00D157C3">
        <w:tc>
          <w:tcPr>
            <w:tcW w:w="2335" w:type="dxa"/>
          </w:tcPr>
          <w:p w14:paraId="3616F1E8"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Jun 2002 – Sep 2002</w:t>
            </w:r>
          </w:p>
        </w:tc>
        <w:tc>
          <w:tcPr>
            <w:tcW w:w="1465" w:type="dxa"/>
          </w:tcPr>
          <w:p w14:paraId="294B1CD0"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4</w:t>
            </w:r>
          </w:p>
        </w:tc>
        <w:tc>
          <w:tcPr>
            <w:tcW w:w="1800" w:type="dxa"/>
          </w:tcPr>
          <w:p w14:paraId="419D0EA3"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3</w:t>
            </w:r>
          </w:p>
        </w:tc>
        <w:tc>
          <w:tcPr>
            <w:tcW w:w="1400" w:type="dxa"/>
          </w:tcPr>
          <w:p w14:paraId="41474A19"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w:t>
            </w:r>
          </w:p>
        </w:tc>
        <w:tc>
          <w:tcPr>
            <w:tcW w:w="2360" w:type="dxa"/>
          </w:tcPr>
          <w:p w14:paraId="66F2747A"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101.0</w:t>
            </w:r>
          </w:p>
        </w:tc>
      </w:tr>
      <w:tr w:rsidR="00D157C3" w:rsidRPr="00D157C3" w14:paraId="3471E6B1" w14:textId="77777777" w:rsidTr="00D157C3">
        <w:tc>
          <w:tcPr>
            <w:tcW w:w="2335" w:type="dxa"/>
          </w:tcPr>
          <w:p w14:paraId="7563B992"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Nov 2002 – Feb 2003</w:t>
            </w:r>
          </w:p>
        </w:tc>
        <w:tc>
          <w:tcPr>
            <w:tcW w:w="1465" w:type="dxa"/>
          </w:tcPr>
          <w:p w14:paraId="0DD310DA"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4</w:t>
            </w:r>
          </w:p>
        </w:tc>
        <w:tc>
          <w:tcPr>
            <w:tcW w:w="1800" w:type="dxa"/>
          </w:tcPr>
          <w:p w14:paraId="753A2394"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2</w:t>
            </w:r>
          </w:p>
        </w:tc>
        <w:tc>
          <w:tcPr>
            <w:tcW w:w="1400" w:type="dxa"/>
          </w:tcPr>
          <w:p w14:paraId="5273E14C"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w:t>
            </w:r>
          </w:p>
        </w:tc>
        <w:tc>
          <w:tcPr>
            <w:tcW w:w="2360" w:type="dxa"/>
          </w:tcPr>
          <w:p w14:paraId="4296F641"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61.0</w:t>
            </w:r>
          </w:p>
        </w:tc>
      </w:tr>
      <w:tr w:rsidR="00D157C3" w:rsidRPr="00D157C3" w14:paraId="20AE6239" w14:textId="77777777" w:rsidTr="00D157C3">
        <w:tc>
          <w:tcPr>
            <w:tcW w:w="2335" w:type="dxa"/>
          </w:tcPr>
          <w:p w14:paraId="10ABEE4B"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Dec 2010 – Mar 2011</w:t>
            </w:r>
          </w:p>
        </w:tc>
        <w:tc>
          <w:tcPr>
            <w:tcW w:w="1465" w:type="dxa"/>
          </w:tcPr>
          <w:p w14:paraId="2EE16C7E"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4</w:t>
            </w:r>
          </w:p>
        </w:tc>
        <w:tc>
          <w:tcPr>
            <w:tcW w:w="1800" w:type="dxa"/>
          </w:tcPr>
          <w:p w14:paraId="190BEEEC"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w:t>
            </w:r>
          </w:p>
        </w:tc>
        <w:tc>
          <w:tcPr>
            <w:tcW w:w="1400" w:type="dxa"/>
          </w:tcPr>
          <w:p w14:paraId="79D9A2B5"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0</w:t>
            </w:r>
          </w:p>
        </w:tc>
        <w:tc>
          <w:tcPr>
            <w:tcW w:w="2360" w:type="dxa"/>
          </w:tcPr>
          <w:p w14:paraId="2D43E4D4"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188.0</w:t>
            </w:r>
          </w:p>
        </w:tc>
      </w:tr>
      <w:tr w:rsidR="00D157C3" w:rsidRPr="00D157C3" w14:paraId="0DF68D59" w14:textId="77777777" w:rsidTr="00D157C3">
        <w:tc>
          <w:tcPr>
            <w:tcW w:w="2335" w:type="dxa"/>
          </w:tcPr>
          <w:p w14:paraId="5CFAE9F0"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Jul 2022 – Oct 2022</w:t>
            </w:r>
          </w:p>
        </w:tc>
        <w:tc>
          <w:tcPr>
            <w:tcW w:w="1465" w:type="dxa"/>
          </w:tcPr>
          <w:p w14:paraId="20ED9619"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4</w:t>
            </w:r>
          </w:p>
        </w:tc>
        <w:tc>
          <w:tcPr>
            <w:tcW w:w="1800" w:type="dxa"/>
          </w:tcPr>
          <w:p w14:paraId="55A404DD"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2</w:t>
            </w:r>
          </w:p>
        </w:tc>
        <w:tc>
          <w:tcPr>
            <w:tcW w:w="1400" w:type="dxa"/>
          </w:tcPr>
          <w:p w14:paraId="105B6C94"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w:t>
            </w:r>
          </w:p>
        </w:tc>
        <w:tc>
          <w:tcPr>
            <w:tcW w:w="2360" w:type="dxa"/>
          </w:tcPr>
          <w:p w14:paraId="1E611886"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37.0</w:t>
            </w:r>
          </w:p>
        </w:tc>
      </w:tr>
      <w:tr w:rsidR="00D157C3" w:rsidRPr="00D157C3" w14:paraId="64150734" w14:textId="77777777" w:rsidTr="00D157C3">
        <w:tc>
          <w:tcPr>
            <w:tcW w:w="2335" w:type="dxa"/>
          </w:tcPr>
          <w:p w14:paraId="46993971"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Aug 2015 – Nov 2015</w:t>
            </w:r>
          </w:p>
        </w:tc>
        <w:tc>
          <w:tcPr>
            <w:tcW w:w="1465" w:type="dxa"/>
          </w:tcPr>
          <w:p w14:paraId="7F3D8109"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4</w:t>
            </w:r>
          </w:p>
        </w:tc>
        <w:tc>
          <w:tcPr>
            <w:tcW w:w="1800" w:type="dxa"/>
          </w:tcPr>
          <w:p w14:paraId="758C2011"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2</w:t>
            </w:r>
          </w:p>
        </w:tc>
        <w:tc>
          <w:tcPr>
            <w:tcW w:w="1400" w:type="dxa"/>
          </w:tcPr>
          <w:p w14:paraId="1BB7184D"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0</w:t>
            </w:r>
          </w:p>
        </w:tc>
        <w:tc>
          <w:tcPr>
            <w:tcW w:w="2360" w:type="dxa"/>
          </w:tcPr>
          <w:p w14:paraId="5A2BF9A5" w14:textId="77777777" w:rsidR="00CF2C46" w:rsidRPr="00D157C3" w:rsidRDefault="00CF2C46" w:rsidP="00D157C3">
            <w:pPr>
              <w:spacing w:line="480" w:lineRule="auto"/>
              <w:rPr>
                <w:rFonts w:ascii="Arial Narrow" w:hAnsi="Arial Narrow"/>
              </w:rPr>
            </w:pPr>
            <w:r w:rsidRPr="00D157C3">
              <w:rPr>
                <w:rFonts w:ascii="Arial Narrow" w:eastAsia="Times New Roman" w:hAnsi="Arial Narrow" w:cs="Times New Roman"/>
              </w:rPr>
              <w:t>137.0</w:t>
            </w:r>
          </w:p>
        </w:tc>
      </w:tr>
    </w:tbl>
    <w:p w14:paraId="21099941" w14:textId="77777777" w:rsidR="001F7090" w:rsidRDefault="001F7090" w:rsidP="00CF2C46"/>
    <w:p w14:paraId="08491202" w14:textId="5DF5F056" w:rsidR="001F7090" w:rsidRDefault="001F7090" w:rsidP="006C1778">
      <w:pPr>
        <w:pStyle w:val="Head4"/>
      </w:pPr>
      <w:bookmarkStart w:id="120" w:name="_Toc228286038"/>
      <w:r>
        <w:t>Noro</w:t>
      </w:r>
      <w:bookmarkEnd w:id="120"/>
    </w:p>
    <w:p w14:paraId="3A84E09F" w14:textId="08782F10" w:rsidR="00D37008" w:rsidRPr="0090743B" w:rsidRDefault="00D37008" w:rsidP="0090743B">
      <w:pPr>
        <w:rPr>
          <w:rFonts w:ascii="Arial" w:hAnsi="Arial" w:cs="Arial"/>
          <w:i/>
          <w:iCs/>
          <w:sz w:val="22"/>
          <w:szCs w:val="22"/>
        </w:rPr>
      </w:pPr>
      <w:r w:rsidRPr="00E86A5D">
        <w:rPr>
          <w:rFonts w:ascii="Arial" w:hAnsi="Arial" w:cs="Arial"/>
          <w:i/>
          <w:iCs/>
          <w:sz w:val="22"/>
          <w:szCs w:val="22"/>
        </w:rPr>
        <w:t>Rainfall Index</w:t>
      </w:r>
    </w:p>
    <w:p w14:paraId="477CB330" w14:textId="7D7BACF1" w:rsidR="005030CE" w:rsidRDefault="005030CE" w:rsidP="005030CE">
      <w:pPr>
        <w:spacing w:line="276" w:lineRule="auto"/>
      </w:pPr>
      <w:r>
        <w:rPr>
          <w:rFonts w:eastAsia="Times New Roman" w:cs="Times New Roman"/>
        </w:rPr>
        <w:t>The Noro Rainfall Index record (</w:t>
      </w:r>
      <w:r w:rsidR="006C1778">
        <w:rPr>
          <w:rFonts w:eastAsia="Times New Roman" w:cs="Times New Roman"/>
        </w:rPr>
        <w:fldChar w:fldCharType="begin"/>
      </w:r>
      <w:r w:rsidR="006C1778">
        <w:rPr>
          <w:rFonts w:eastAsia="Times New Roman" w:cs="Times New Roman"/>
        </w:rPr>
        <w:instrText xml:space="preserve"> REF _Ref227611960 \h </w:instrText>
      </w:r>
      <w:r w:rsidR="006C1778">
        <w:rPr>
          <w:rFonts w:eastAsia="Times New Roman" w:cs="Times New Roman"/>
        </w:rPr>
      </w:r>
      <w:r w:rsidR="006C1778">
        <w:rPr>
          <w:rFonts w:eastAsia="Times New Roman" w:cs="Times New Roman"/>
        </w:rPr>
        <w:fldChar w:fldCharType="separate"/>
      </w:r>
      <w:r w:rsidR="006C1778" w:rsidRPr="005030CE">
        <w:rPr>
          <w:rFonts w:ascii="Arial Narrow" w:hAnsi="Arial Narrow"/>
        </w:rPr>
        <w:t xml:space="preserve">Figure </w:t>
      </w:r>
      <w:r w:rsidR="006C1778">
        <w:rPr>
          <w:rFonts w:ascii="Arial Narrow" w:hAnsi="Arial Narrow"/>
          <w:noProof/>
        </w:rPr>
        <w:t>26</w:t>
      </w:r>
      <w:r w:rsidR="006C1778">
        <w:rPr>
          <w:rFonts w:eastAsia="Times New Roman" w:cs="Times New Roman"/>
        </w:rPr>
        <w:fldChar w:fldCharType="end"/>
      </w:r>
      <w:r>
        <w:rPr>
          <w:rFonts w:eastAsia="Times New Roman" w:cs="Times New Roman"/>
        </w:rPr>
        <w:t>) shows 63 Drier and 62 Dry months at the 1-month timescale. The PEAC index classified only 6 months (2 percent) as Red. At the 6-month window, 63 months were Drier and 60 were Dry.</w:t>
      </w:r>
    </w:p>
    <w:p w14:paraId="7B48F2EC" w14:textId="77777777" w:rsidR="005030CE" w:rsidRDefault="005030CE" w:rsidP="005030CE">
      <w:pPr>
        <w:keepNext/>
        <w:spacing w:before="160" w:after="60"/>
        <w:jc w:val="center"/>
      </w:pPr>
      <w:r>
        <w:rPr>
          <w:noProof/>
        </w:rPr>
        <w:lastRenderedPageBreak/>
        <w:drawing>
          <wp:inline distT="0" distB="0" distL="0" distR="0" wp14:anchorId="43F244DC" wp14:editId="40488743">
            <wp:extent cx="5715000" cy="4953000"/>
            <wp:effectExtent l="0" t="0" r="0" b="0"/>
            <wp:docPr id="1902002357" name="Noro RI Time Series" descr="Three-panel Rainfall Index for Noro." title="Noro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srcRect/>
                    <a:stretch>
                      <a:fillRect/>
                    </a:stretch>
                  </pic:blipFill>
                  <pic:spPr bwMode="auto">
                    <a:xfrm>
                      <a:off x="0" y="0"/>
                      <a:ext cx="5715000" cy="4953000"/>
                    </a:xfrm>
                    <a:prstGeom prst="rect">
                      <a:avLst/>
                    </a:prstGeom>
                  </pic:spPr>
                </pic:pic>
              </a:graphicData>
            </a:graphic>
          </wp:inline>
        </w:drawing>
      </w:r>
    </w:p>
    <w:p w14:paraId="15F31979" w14:textId="2447B9F1" w:rsidR="005030CE" w:rsidRPr="005030CE" w:rsidRDefault="005030CE" w:rsidP="005030CE">
      <w:pPr>
        <w:pStyle w:val="Caption"/>
        <w:rPr>
          <w:rFonts w:ascii="Arial Narrow" w:hAnsi="Arial Narrow"/>
        </w:rPr>
      </w:pPr>
      <w:bookmarkStart w:id="121" w:name="_Ref227611960"/>
      <w:bookmarkStart w:id="122" w:name="_Toc227691736"/>
      <w:r w:rsidRPr="005030CE">
        <w:rPr>
          <w:rFonts w:ascii="Arial Narrow" w:hAnsi="Arial Narrow"/>
        </w:rPr>
        <w:t xml:space="preserve">Figure </w:t>
      </w:r>
      <w:r w:rsidRPr="005030CE">
        <w:rPr>
          <w:rFonts w:ascii="Arial Narrow" w:hAnsi="Arial Narrow"/>
        </w:rPr>
        <w:fldChar w:fldCharType="begin"/>
      </w:r>
      <w:r w:rsidRPr="005030CE">
        <w:rPr>
          <w:rFonts w:ascii="Arial Narrow" w:hAnsi="Arial Narrow"/>
        </w:rPr>
        <w:instrText xml:space="preserve"> SEQ Figure \* ARABIC </w:instrText>
      </w:r>
      <w:r w:rsidRPr="005030CE">
        <w:rPr>
          <w:rFonts w:ascii="Arial Narrow" w:hAnsi="Arial Narrow"/>
        </w:rPr>
        <w:fldChar w:fldCharType="separate"/>
      </w:r>
      <w:r w:rsidR="00EB6CD8">
        <w:rPr>
          <w:rFonts w:ascii="Arial Narrow" w:hAnsi="Arial Narrow"/>
          <w:noProof/>
        </w:rPr>
        <w:t>26</w:t>
      </w:r>
      <w:r w:rsidRPr="005030CE">
        <w:rPr>
          <w:rFonts w:ascii="Arial Narrow" w:hAnsi="Arial Narrow"/>
        </w:rPr>
        <w:fldChar w:fldCharType="end"/>
      </w:r>
      <w:bookmarkEnd w:id="121"/>
      <w:r w:rsidRPr="005030CE">
        <w:rPr>
          <w:rFonts w:ascii="Arial Narrow" w:hAnsi="Arial Narrow"/>
        </w:rPr>
        <w:t>. Quintile-based Rainfall Index time series for Noro.</w:t>
      </w:r>
      <w:bookmarkEnd w:id="122"/>
      <w:r w:rsidRPr="005030CE">
        <w:rPr>
          <w:rFonts w:ascii="Arial Narrow" w:hAnsi="Arial Narrow"/>
        </w:rPr>
        <w:t xml:space="preserve"> </w:t>
      </w:r>
    </w:p>
    <w:p w14:paraId="668D071F" w14:textId="617BDF48" w:rsidR="005030CE" w:rsidRPr="00FF634F" w:rsidRDefault="005030CE" w:rsidP="00FF634F">
      <w:pPr>
        <w:spacing w:before="240" w:after="0"/>
        <w:rPr>
          <w:rFonts w:ascii="Arial" w:hAnsi="Arial" w:cs="Arial"/>
          <w:i/>
          <w:iCs/>
          <w:sz w:val="22"/>
          <w:szCs w:val="22"/>
        </w:rPr>
      </w:pPr>
      <w:r w:rsidRPr="00FF634F">
        <w:rPr>
          <w:rFonts w:ascii="Arial" w:hAnsi="Arial" w:cs="Arial"/>
          <w:i/>
          <w:iCs/>
          <w:sz w:val="22"/>
          <w:szCs w:val="22"/>
        </w:rPr>
        <w:t>Notable Drought Episodes</w:t>
      </w:r>
    </w:p>
    <w:p w14:paraId="4B572274" w14:textId="4E5B3A94" w:rsidR="005030CE" w:rsidRDefault="005030CE" w:rsidP="00D75A50">
      <w:r>
        <w:rPr>
          <w:rFonts w:eastAsia="Times New Roman" w:cs="Times New Roman"/>
        </w:rPr>
        <w:t xml:space="preserve">The most prolonged drought at Noro was a 7-month event from November 2002 through May 2003, with 6 Drier months at the 1-month window and Drier classifications at both the 3-month and 6-month windows for nearly the entire period. The minimum monthly precipitation was 54.0 </w:t>
      </w:r>
      <w:r w:rsidR="001C6732">
        <w:rPr>
          <w:rFonts w:eastAsia="Times New Roman" w:cs="Times New Roman"/>
        </w:rPr>
        <w:t>mm</w:t>
      </w:r>
      <w:r>
        <w:rPr>
          <w:rFonts w:eastAsia="Times New Roman" w:cs="Times New Roman"/>
        </w:rPr>
        <w:t xml:space="preserve"> (December 2002, PEAC-Red). A second 6-month event from June through November 2005 produced 5 Drier months, with 2 PEAC-Red months and a minimum of 86.0 </w:t>
      </w:r>
      <w:r w:rsidR="001C6732">
        <w:rPr>
          <w:rFonts w:eastAsia="Times New Roman" w:cs="Times New Roman"/>
        </w:rPr>
        <w:t>mm</w:t>
      </w:r>
      <w:r>
        <w:rPr>
          <w:rFonts w:eastAsia="Times New Roman" w:cs="Times New Roman"/>
        </w:rPr>
        <w:t xml:space="preserve">. The November </w:t>
      </w:r>
      <w:r>
        <w:rPr>
          <w:rFonts w:eastAsia="Times New Roman" w:cs="Times New Roman"/>
        </w:rPr>
        <w:lastRenderedPageBreak/>
        <w:t>2006 through April 2007 episode (6 months, 4 Drier) was also prominent and synchronized with the Munda record.</w:t>
      </w:r>
    </w:p>
    <w:p w14:paraId="3E2EAEE3" w14:textId="0FD5B469" w:rsidR="00D75A50" w:rsidRPr="00D75A50" w:rsidRDefault="00D75A50" w:rsidP="00D75A50">
      <w:pPr>
        <w:pStyle w:val="Caption"/>
        <w:keepNext/>
        <w:rPr>
          <w:rFonts w:ascii="Arial Narrow" w:hAnsi="Arial Narrow"/>
          <w:szCs w:val="24"/>
        </w:rPr>
      </w:pPr>
      <w:bookmarkStart w:id="123" w:name="_Toc228285976"/>
      <w:r w:rsidRPr="00D75A50">
        <w:rPr>
          <w:rFonts w:ascii="Arial Narrow" w:hAnsi="Arial Narrow"/>
          <w:szCs w:val="24"/>
        </w:rPr>
        <w:t xml:space="preserve">Table </w:t>
      </w:r>
      <w:r w:rsidRPr="00D75A50">
        <w:rPr>
          <w:rFonts w:ascii="Arial Narrow" w:hAnsi="Arial Narrow"/>
          <w:szCs w:val="24"/>
        </w:rPr>
        <w:fldChar w:fldCharType="begin"/>
      </w:r>
      <w:r w:rsidRPr="00D75A50">
        <w:rPr>
          <w:rFonts w:ascii="Arial Narrow" w:hAnsi="Arial Narrow"/>
          <w:szCs w:val="24"/>
        </w:rPr>
        <w:instrText xml:space="preserve"> SEQ Table \* ARABIC </w:instrText>
      </w:r>
      <w:r w:rsidRPr="00D75A50">
        <w:rPr>
          <w:rFonts w:ascii="Arial Narrow" w:hAnsi="Arial Narrow"/>
          <w:szCs w:val="24"/>
        </w:rPr>
        <w:fldChar w:fldCharType="separate"/>
      </w:r>
      <w:r w:rsidR="00C93E55">
        <w:rPr>
          <w:rFonts w:ascii="Arial Narrow" w:hAnsi="Arial Narrow"/>
          <w:noProof/>
          <w:szCs w:val="24"/>
        </w:rPr>
        <w:t>10</w:t>
      </w:r>
      <w:r w:rsidRPr="00D75A50">
        <w:rPr>
          <w:rFonts w:ascii="Arial Narrow" w:hAnsi="Arial Narrow"/>
          <w:szCs w:val="24"/>
        </w:rPr>
        <w:fldChar w:fldCharType="end"/>
      </w:r>
      <w:r w:rsidRPr="00D75A50">
        <w:rPr>
          <w:rFonts w:ascii="Arial Narrow" w:hAnsi="Arial Narrow"/>
          <w:szCs w:val="24"/>
        </w:rPr>
        <w:t>. Summary of notable drought episodes at Noro.</w:t>
      </w:r>
      <w:bookmarkEnd w:id="123"/>
    </w:p>
    <w:tbl>
      <w:tblPr>
        <w:tblStyle w:val="TableGrid"/>
        <w:tblW w:w="9360" w:type="dxa"/>
        <w:tblLook w:val="04A0" w:firstRow="1" w:lastRow="0" w:firstColumn="1" w:lastColumn="0" w:noHBand="0" w:noVBand="1"/>
      </w:tblPr>
      <w:tblGrid>
        <w:gridCol w:w="2335"/>
        <w:gridCol w:w="1465"/>
        <w:gridCol w:w="1800"/>
        <w:gridCol w:w="1400"/>
        <w:gridCol w:w="2360"/>
      </w:tblGrid>
      <w:tr w:rsidR="00D75A50" w:rsidRPr="00D75A50" w14:paraId="786216FB" w14:textId="77777777" w:rsidTr="00D75A50">
        <w:tc>
          <w:tcPr>
            <w:tcW w:w="2335" w:type="dxa"/>
          </w:tcPr>
          <w:p w14:paraId="68D18F16"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b/>
                <w:bCs/>
              </w:rPr>
              <w:t>Episode</w:t>
            </w:r>
          </w:p>
        </w:tc>
        <w:tc>
          <w:tcPr>
            <w:tcW w:w="1465" w:type="dxa"/>
          </w:tcPr>
          <w:p w14:paraId="4A6B1BC1"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b/>
                <w:bCs/>
              </w:rPr>
              <w:t>Duration (months)</w:t>
            </w:r>
          </w:p>
        </w:tc>
        <w:tc>
          <w:tcPr>
            <w:tcW w:w="1800" w:type="dxa"/>
          </w:tcPr>
          <w:p w14:paraId="0A149003"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b/>
                <w:bCs/>
              </w:rPr>
              <w:t>Drier Months (1-mo)</w:t>
            </w:r>
          </w:p>
        </w:tc>
        <w:tc>
          <w:tcPr>
            <w:tcW w:w="1400" w:type="dxa"/>
          </w:tcPr>
          <w:p w14:paraId="51E56ED9"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b/>
                <w:bCs/>
              </w:rPr>
              <w:t>PEAC-Red</w:t>
            </w:r>
          </w:p>
        </w:tc>
        <w:tc>
          <w:tcPr>
            <w:tcW w:w="2360" w:type="dxa"/>
          </w:tcPr>
          <w:p w14:paraId="69DA57AA"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b/>
                <w:bCs/>
              </w:rPr>
              <w:t>Min Precip. (mm)</w:t>
            </w:r>
          </w:p>
        </w:tc>
      </w:tr>
      <w:tr w:rsidR="00D75A50" w:rsidRPr="00D75A50" w14:paraId="0C10EFAF" w14:textId="77777777" w:rsidTr="00D75A50">
        <w:tc>
          <w:tcPr>
            <w:tcW w:w="2335" w:type="dxa"/>
          </w:tcPr>
          <w:p w14:paraId="66188F8C"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Nov 2002 – May 2003</w:t>
            </w:r>
          </w:p>
        </w:tc>
        <w:tc>
          <w:tcPr>
            <w:tcW w:w="1465" w:type="dxa"/>
          </w:tcPr>
          <w:p w14:paraId="5747CB25"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7</w:t>
            </w:r>
          </w:p>
        </w:tc>
        <w:tc>
          <w:tcPr>
            <w:tcW w:w="1800" w:type="dxa"/>
          </w:tcPr>
          <w:p w14:paraId="784929BF"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6</w:t>
            </w:r>
          </w:p>
        </w:tc>
        <w:tc>
          <w:tcPr>
            <w:tcW w:w="1400" w:type="dxa"/>
          </w:tcPr>
          <w:p w14:paraId="29D38664"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1</w:t>
            </w:r>
          </w:p>
        </w:tc>
        <w:tc>
          <w:tcPr>
            <w:tcW w:w="2360" w:type="dxa"/>
          </w:tcPr>
          <w:p w14:paraId="32D76380"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54.0</w:t>
            </w:r>
          </w:p>
        </w:tc>
      </w:tr>
      <w:tr w:rsidR="00D75A50" w:rsidRPr="00D75A50" w14:paraId="486D45AD" w14:textId="77777777" w:rsidTr="00D75A50">
        <w:tc>
          <w:tcPr>
            <w:tcW w:w="2335" w:type="dxa"/>
          </w:tcPr>
          <w:p w14:paraId="00C7B950"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Jun 2005 – Nov 2005</w:t>
            </w:r>
          </w:p>
        </w:tc>
        <w:tc>
          <w:tcPr>
            <w:tcW w:w="1465" w:type="dxa"/>
          </w:tcPr>
          <w:p w14:paraId="091CD00A"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6</w:t>
            </w:r>
          </w:p>
        </w:tc>
        <w:tc>
          <w:tcPr>
            <w:tcW w:w="1800" w:type="dxa"/>
          </w:tcPr>
          <w:p w14:paraId="3165B5EC"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5</w:t>
            </w:r>
          </w:p>
        </w:tc>
        <w:tc>
          <w:tcPr>
            <w:tcW w:w="1400" w:type="dxa"/>
          </w:tcPr>
          <w:p w14:paraId="2600FD1C"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2</w:t>
            </w:r>
          </w:p>
        </w:tc>
        <w:tc>
          <w:tcPr>
            <w:tcW w:w="2360" w:type="dxa"/>
          </w:tcPr>
          <w:p w14:paraId="0EFAD941"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86.0</w:t>
            </w:r>
          </w:p>
        </w:tc>
      </w:tr>
      <w:tr w:rsidR="00D75A50" w:rsidRPr="00D75A50" w14:paraId="23C2DB54" w14:textId="77777777" w:rsidTr="00D75A50">
        <w:tc>
          <w:tcPr>
            <w:tcW w:w="2335" w:type="dxa"/>
          </w:tcPr>
          <w:p w14:paraId="2316E2BE"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Nov 2006 – Apr 2007</w:t>
            </w:r>
          </w:p>
        </w:tc>
        <w:tc>
          <w:tcPr>
            <w:tcW w:w="1465" w:type="dxa"/>
          </w:tcPr>
          <w:p w14:paraId="40054992"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6</w:t>
            </w:r>
          </w:p>
        </w:tc>
        <w:tc>
          <w:tcPr>
            <w:tcW w:w="1800" w:type="dxa"/>
          </w:tcPr>
          <w:p w14:paraId="25E448DF"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4</w:t>
            </w:r>
          </w:p>
        </w:tc>
        <w:tc>
          <w:tcPr>
            <w:tcW w:w="1400" w:type="dxa"/>
          </w:tcPr>
          <w:p w14:paraId="41CC5CE4"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0</w:t>
            </w:r>
          </w:p>
        </w:tc>
        <w:tc>
          <w:tcPr>
            <w:tcW w:w="2360" w:type="dxa"/>
          </w:tcPr>
          <w:p w14:paraId="5814746A"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124.0</w:t>
            </w:r>
          </w:p>
        </w:tc>
      </w:tr>
      <w:tr w:rsidR="00D75A50" w:rsidRPr="00D75A50" w14:paraId="43F20217" w14:textId="77777777" w:rsidTr="00D75A50">
        <w:tc>
          <w:tcPr>
            <w:tcW w:w="2335" w:type="dxa"/>
          </w:tcPr>
          <w:p w14:paraId="0564F0AC"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Jul 2003 – Nov 2003</w:t>
            </w:r>
          </w:p>
        </w:tc>
        <w:tc>
          <w:tcPr>
            <w:tcW w:w="1465" w:type="dxa"/>
          </w:tcPr>
          <w:p w14:paraId="0C71B115"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5</w:t>
            </w:r>
          </w:p>
        </w:tc>
        <w:tc>
          <w:tcPr>
            <w:tcW w:w="1800" w:type="dxa"/>
          </w:tcPr>
          <w:p w14:paraId="00A327C2"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3</w:t>
            </w:r>
          </w:p>
        </w:tc>
        <w:tc>
          <w:tcPr>
            <w:tcW w:w="1400" w:type="dxa"/>
          </w:tcPr>
          <w:p w14:paraId="0E38E8A3"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1</w:t>
            </w:r>
          </w:p>
        </w:tc>
        <w:tc>
          <w:tcPr>
            <w:tcW w:w="2360" w:type="dxa"/>
          </w:tcPr>
          <w:p w14:paraId="384180AB"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71.0</w:t>
            </w:r>
          </w:p>
        </w:tc>
      </w:tr>
      <w:tr w:rsidR="00D75A50" w:rsidRPr="00D75A50" w14:paraId="5472A093" w14:textId="77777777" w:rsidTr="00D75A50">
        <w:tc>
          <w:tcPr>
            <w:tcW w:w="2335" w:type="dxa"/>
          </w:tcPr>
          <w:p w14:paraId="364705F8"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Jun 2002 – Sep 2002</w:t>
            </w:r>
          </w:p>
        </w:tc>
        <w:tc>
          <w:tcPr>
            <w:tcW w:w="1465" w:type="dxa"/>
          </w:tcPr>
          <w:p w14:paraId="5DBCDE39"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4</w:t>
            </w:r>
          </w:p>
        </w:tc>
        <w:tc>
          <w:tcPr>
            <w:tcW w:w="1800" w:type="dxa"/>
          </w:tcPr>
          <w:p w14:paraId="31A61676"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3</w:t>
            </w:r>
          </w:p>
        </w:tc>
        <w:tc>
          <w:tcPr>
            <w:tcW w:w="1400" w:type="dxa"/>
          </w:tcPr>
          <w:p w14:paraId="4BB879F8"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0</w:t>
            </w:r>
          </w:p>
        </w:tc>
        <w:tc>
          <w:tcPr>
            <w:tcW w:w="2360" w:type="dxa"/>
          </w:tcPr>
          <w:p w14:paraId="7F2BF568"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110.0</w:t>
            </w:r>
          </w:p>
        </w:tc>
      </w:tr>
      <w:tr w:rsidR="00D75A50" w:rsidRPr="00D75A50" w14:paraId="07A9476D" w14:textId="77777777" w:rsidTr="00D75A50">
        <w:tc>
          <w:tcPr>
            <w:tcW w:w="2335" w:type="dxa"/>
          </w:tcPr>
          <w:p w14:paraId="4C8702BD"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Aug 2015 – Nov 2015</w:t>
            </w:r>
          </w:p>
        </w:tc>
        <w:tc>
          <w:tcPr>
            <w:tcW w:w="1465" w:type="dxa"/>
          </w:tcPr>
          <w:p w14:paraId="7280F69B"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4</w:t>
            </w:r>
          </w:p>
        </w:tc>
        <w:tc>
          <w:tcPr>
            <w:tcW w:w="1800" w:type="dxa"/>
          </w:tcPr>
          <w:p w14:paraId="5881925E"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2</w:t>
            </w:r>
          </w:p>
        </w:tc>
        <w:tc>
          <w:tcPr>
            <w:tcW w:w="1400" w:type="dxa"/>
          </w:tcPr>
          <w:p w14:paraId="7DD8F5F0"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0</w:t>
            </w:r>
          </w:p>
        </w:tc>
        <w:tc>
          <w:tcPr>
            <w:tcW w:w="2360" w:type="dxa"/>
          </w:tcPr>
          <w:p w14:paraId="075FF792"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147.0</w:t>
            </w:r>
          </w:p>
        </w:tc>
      </w:tr>
      <w:tr w:rsidR="00D75A50" w:rsidRPr="00D75A50" w14:paraId="0EC9FB75" w14:textId="77777777" w:rsidTr="00D75A50">
        <w:tc>
          <w:tcPr>
            <w:tcW w:w="2335" w:type="dxa"/>
          </w:tcPr>
          <w:p w14:paraId="0425DA99"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Jul 2022 – Oct 2022</w:t>
            </w:r>
          </w:p>
        </w:tc>
        <w:tc>
          <w:tcPr>
            <w:tcW w:w="1465" w:type="dxa"/>
          </w:tcPr>
          <w:p w14:paraId="3B3FC353"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4</w:t>
            </w:r>
          </w:p>
        </w:tc>
        <w:tc>
          <w:tcPr>
            <w:tcW w:w="1800" w:type="dxa"/>
          </w:tcPr>
          <w:p w14:paraId="18351348"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2</w:t>
            </w:r>
          </w:p>
        </w:tc>
        <w:tc>
          <w:tcPr>
            <w:tcW w:w="1400" w:type="dxa"/>
          </w:tcPr>
          <w:p w14:paraId="4731799D"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1</w:t>
            </w:r>
          </w:p>
        </w:tc>
        <w:tc>
          <w:tcPr>
            <w:tcW w:w="2360" w:type="dxa"/>
          </w:tcPr>
          <w:p w14:paraId="50134850" w14:textId="77777777" w:rsidR="005030CE" w:rsidRPr="00D75A50" w:rsidRDefault="005030CE" w:rsidP="00D75A50">
            <w:pPr>
              <w:spacing w:line="480" w:lineRule="auto"/>
              <w:rPr>
                <w:rFonts w:ascii="Arial Narrow" w:hAnsi="Arial Narrow"/>
              </w:rPr>
            </w:pPr>
            <w:r w:rsidRPr="00D75A50">
              <w:rPr>
                <w:rFonts w:ascii="Arial Narrow" w:eastAsia="Times New Roman" w:hAnsi="Arial Narrow" w:cs="Times New Roman"/>
              </w:rPr>
              <w:t>39.0</w:t>
            </w:r>
          </w:p>
        </w:tc>
      </w:tr>
    </w:tbl>
    <w:p w14:paraId="76DDE03A" w14:textId="77777777" w:rsidR="00AC7637" w:rsidRDefault="00AC7637" w:rsidP="005030CE"/>
    <w:p w14:paraId="38EFF939" w14:textId="321E7CFD" w:rsidR="00AC7637" w:rsidRDefault="00AC7637" w:rsidP="006C1778">
      <w:pPr>
        <w:pStyle w:val="Head4"/>
      </w:pPr>
      <w:bookmarkStart w:id="124" w:name="_Toc228286039"/>
      <w:r w:rsidRPr="00900722">
        <w:t>Noro</w:t>
      </w:r>
      <w:r w:rsidR="00900722" w:rsidRPr="00900722">
        <w:t>–Munda Basin</w:t>
      </w:r>
      <w:bookmarkEnd w:id="124"/>
    </w:p>
    <w:p w14:paraId="05B22373" w14:textId="77777777" w:rsidR="0090743B" w:rsidRDefault="0090743B" w:rsidP="0090743B">
      <w:pPr>
        <w:rPr>
          <w:rFonts w:ascii="Arial" w:hAnsi="Arial" w:cs="Arial"/>
          <w:i/>
          <w:iCs/>
          <w:sz w:val="22"/>
          <w:szCs w:val="22"/>
        </w:rPr>
      </w:pPr>
      <w:r w:rsidRPr="00E86A5D">
        <w:rPr>
          <w:rFonts w:ascii="Arial" w:hAnsi="Arial" w:cs="Arial"/>
          <w:i/>
          <w:iCs/>
          <w:sz w:val="22"/>
          <w:szCs w:val="22"/>
        </w:rPr>
        <w:t>Rainfall Index</w:t>
      </w:r>
    </w:p>
    <w:p w14:paraId="5501EA42" w14:textId="1B9D25BD" w:rsidR="00713C2A" w:rsidRDefault="00713C2A" w:rsidP="00713C2A">
      <w:r>
        <w:rPr>
          <w:rFonts w:eastAsia="Times New Roman" w:cs="Times New Roman"/>
        </w:rPr>
        <w:t>The basin-scale record (</w:t>
      </w:r>
      <w:r w:rsidR="006C1778">
        <w:rPr>
          <w:rFonts w:eastAsia="Times New Roman" w:cs="Times New Roman"/>
        </w:rPr>
        <w:fldChar w:fldCharType="begin"/>
      </w:r>
      <w:r w:rsidR="006C1778">
        <w:rPr>
          <w:rFonts w:eastAsia="Times New Roman" w:cs="Times New Roman"/>
        </w:rPr>
        <w:instrText xml:space="preserve"> REF _Ref227612478 \h </w:instrText>
      </w:r>
      <w:r w:rsidR="006C1778">
        <w:rPr>
          <w:rFonts w:eastAsia="Times New Roman" w:cs="Times New Roman"/>
        </w:rPr>
      </w:r>
      <w:r w:rsidR="006C1778">
        <w:rPr>
          <w:rFonts w:eastAsia="Times New Roman" w:cs="Times New Roman"/>
        </w:rPr>
        <w:fldChar w:fldCharType="separate"/>
      </w:r>
      <w:r w:rsidR="006C1778" w:rsidRPr="00387787">
        <w:rPr>
          <w:rFonts w:ascii="Arial Narrow" w:hAnsi="Arial Narrow"/>
        </w:rPr>
        <w:t xml:space="preserve">Figure </w:t>
      </w:r>
      <w:r w:rsidR="006C1778">
        <w:rPr>
          <w:rFonts w:ascii="Arial Narrow" w:hAnsi="Arial Narrow"/>
          <w:noProof/>
        </w:rPr>
        <w:t>27</w:t>
      </w:r>
      <w:r w:rsidR="006C1778">
        <w:rPr>
          <w:rFonts w:eastAsia="Times New Roman" w:cs="Times New Roman"/>
        </w:rPr>
        <w:fldChar w:fldCharType="end"/>
      </w:r>
      <w:r>
        <w:rPr>
          <w:rFonts w:eastAsia="Times New Roman" w:cs="Times New Roman"/>
        </w:rPr>
        <w:t>) shows 62 Drier and 63 Dry months at the 1-month timescale. The PEAC index classified 5 months (2 percent) as Red. At the 6-month window, 62 months were Drier and 61 were Dry.</w:t>
      </w:r>
    </w:p>
    <w:p w14:paraId="0FB0A61B" w14:textId="77777777" w:rsidR="00713C2A" w:rsidRDefault="00713C2A" w:rsidP="00713C2A">
      <w:pPr>
        <w:keepNext/>
        <w:spacing w:before="160" w:after="60"/>
        <w:jc w:val="center"/>
      </w:pPr>
      <w:r>
        <w:rPr>
          <w:noProof/>
        </w:rPr>
        <w:lastRenderedPageBreak/>
        <w:drawing>
          <wp:inline distT="0" distB="0" distL="0" distR="0" wp14:anchorId="751BBC91" wp14:editId="441E0D79">
            <wp:extent cx="5715000" cy="4953000"/>
            <wp:effectExtent l="0" t="0" r="0" b="0"/>
            <wp:docPr id="2014809030" name="Basin RI Time Series" descr="Three-panel Rainfall Index for Noro-Munda Basin." title="Basin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srcRect/>
                    <a:stretch>
                      <a:fillRect/>
                    </a:stretch>
                  </pic:blipFill>
                  <pic:spPr bwMode="auto">
                    <a:xfrm>
                      <a:off x="0" y="0"/>
                      <a:ext cx="5715000" cy="4953000"/>
                    </a:xfrm>
                    <a:prstGeom prst="rect">
                      <a:avLst/>
                    </a:prstGeom>
                  </pic:spPr>
                </pic:pic>
              </a:graphicData>
            </a:graphic>
          </wp:inline>
        </w:drawing>
      </w:r>
    </w:p>
    <w:p w14:paraId="4584BA7F" w14:textId="239E5FD2" w:rsidR="00713C2A" w:rsidRPr="00387787" w:rsidRDefault="00713C2A" w:rsidP="00713C2A">
      <w:pPr>
        <w:pStyle w:val="Caption"/>
        <w:rPr>
          <w:rFonts w:ascii="Arial Narrow" w:hAnsi="Arial Narrow"/>
        </w:rPr>
      </w:pPr>
      <w:bookmarkStart w:id="125" w:name="_Ref227612478"/>
      <w:bookmarkStart w:id="126" w:name="_Toc227691737"/>
      <w:r w:rsidRPr="00387787">
        <w:rPr>
          <w:rFonts w:ascii="Arial Narrow" w:hAnsi="Arial Narrow"/>
        </w:rPr>
        <w:t xml:space="preserve">Figure </w:t>
      </w:r>
      <w:r w:rsidRPr="00387787">
        <w:rPr>
          <w:rFonts w:ascii="Arial Narrow" w:hAnsi="Arial Narrow"/>
        </w:rPr>
        <w:fldChar w:fldCharType="begin"/>
      </w:r>
      <w:r w:rsidRPr="00387787">
        <w:rPr>
          <w:rFonts w:ascii="Arial Narrow" w:hAnsi="Arial Narrow"/>
        </w:rPr>
        <w:instrText xml:space="preserve"> SEQ Figure \* ARABIC </w:instrText>
      </w:r>
      <w:r w:rsidRPr="00387787">
        <w:rPr>
          <w:rFonts w:ascii="Arial Narrow" w:hAnsi="Arial Narrow"/>
        </w:rPr>
        <w:fldChar w:fldCharType="separate"/>
      </w:r>
      <w:r w:rsidR="00EB6CD8">
        <w:rPr>
          <w:rFonts w:ascii="Arial Narrow" w:hAnsi="Arial Narrow"/>
          <w:noProof/>
        </w:rPr>
        <w:t>27</w:t>
      </w:r>
      <w:r w:rsidRPr="00387787">
        <w:rPr>
          <w:rFonts w:ascii="Arial Narrow" w:hAnsi="Arial Narrow"/>
        </w:rPr>
        <w:fldChar w:fldCharType="end"/>
      </w:r>
      <w:bookmarkEnd w:id="125"/>
      <w:r w:rsidRPr="00387787">
        <w:rPr>
          <w:rFonts w:ascii="Arial Narrow" w:hAnsi="Arial Narrow"/>
        </w:rPr>
        <w:t>. Quintile-based Rainfall Index time series for the Noro–Munda Basin.</w:t>
      </w:r>
      <w:bookmarkEnd w:id="126"/>
    </w:p>
    <w:p w14:paraId="091416BD" w14:textId="78BDCFAC" w:rsidR="00713C2A" w:rsidRPr="00387787" w:rsidRDefault="00713C2A" w:rsidP="00387787">
      <w:pPr>
        <w:rPr>
          <w:rFonts w:ascii="Arial" w:hAnsi="Arial" w:cs="Arial"/>
          <w:i/>
          <w:iCs/>
          <w:sz w:val="22"/>
          <w:szCs w:val="22"/>
        </w:rPr>
      </w:pPr>
      <w:r w:rsidRPr="00387787">
        <w:rPr>
          <w:rFonts w:ascii="Arial" w:hAnsi="Arial" w:cs="Arial"/>
          <w:i/>
          <w:iCs/>
          <w:sz w:val="22"/>
          <w:szCs w:val="22"/>
        </w:rPr>
        <w:t>Notable Drought Episodes</w:t>
      </w:r>
    </w:p>
    <w:p w14:paraId="62B90449" w14:textId="113A2EA2" w:rsidR="00713C2A" w:rsidRDefault="00713C2A" w:rsidP="004A53F3">
      <w:r>
        <w:rPr>
          <w:rFonts w:eastAsia="Times New Roman" w:cs="Times New Roman"/>
        </w:rPr>
        <w:t xml:space="preserve">The basin-scale episodes closely parallel the Noro point-location results. The longest event was a 7-month episode from November 2002 through May 2003 (6 Drier, 1 PEAC-Red, minimum 53.2 </w:t>
      </w:r>
      <w:r w:rsidR="005F40A7">
        <w:rPr>
          <w:rFonts w:eastAsia="Times New Roman" w:cs="Times New Roman"/>
        </w:rPr>
        <w:t>mm</w:t>
      </w:r>
      <w:r>
        <w:rPr>
          <w:rFonts w:eastAsia="Times New Roman" w:cs="Times New Roman"/>
        </w:rPr>
        <w:t xml:space="preserve">), followed by a 7-month episode from June through December 2005 (5 Drier, 1 PEAC-Red, minimum 83.8 </w:t>
      </w:r>
      <w:r w:rsidR="005F40A7">
        <w:rPr>
          <w:rFonts w:eastAsia="Times New Roman" w:cs="Times New Roman"/>
        </w:rPr>
        <w:t>mm</w:t>
      </w:r>
      <w:r>
        <w:rPr>
          <w:rFonts w:eastAsia="Times New Roman" w:cs="Times New Roman"/>
        </w:rPr>
        <w:t xml:space="preserve">) and a 6-month episode from November 2006 through April 2007 (3 Drier, minimum 120.0 </w:t>
      </w:r>
      <w:r w:rsidR="005F40A7">
        <w:rPr>
          <w:rFonts w:eastAsia="Times New Roman" w:cs="Times New Roman"/>
        </w:rPr>
        <w:t>mm</w:t>
      </w:r>
      <w:r>
        <w:rPr>
          <w:rFonts w:eastAsia="Times New Roman" w:cs="Times New Roman"/>
        </w:rPr>
        <w:t>). The synchronization of these episodes across the basin and point locations confirms that the drought signals are spatially coherent across the Noro–Munda region.</w:t>
      </w:r>
    </w:p>
    <w:p w14:paraId="30B7B67B" w14:textId="4EAE5AA1" w:rsidR="00387787" w:rsidRPr="00387787" w:rsidRDefault="00387787" w:rsidP="00387787">
      <w:pPr>
        <w:pStyle w:val="Caption"/>
        <w:keepNext/>
        <w:rPr>
          <w:rFonts w:ascii="Arial Narrow" w:hAnsi="Arial Narrow"/>
          <w:szCs w:val="24"/>
        </w:rPr>
      </w:pPr>
      <w:bookmarkStart w:id="127" w:name="_Toc228285977"/>
      <w:r w:rsidRPr="00387787">
        <w:rPr>
          <w:rFonts w:ascii="Arial Narrow" w:hAnsi="Arial Narrow"/>
          <w:szCs w:val="24"/>
        </w:rPr>
        <w:lastRenderedPageBreak/>
        <w:t xml:space="preserve">Table </w:t>
      </w:r>
      <w:r w:rsidRPr="00387787">
        <w:rPr>
          <w:rFonts w:ascii="Arial Narrow" w:hAnsi="Arial Narrow"/>
          <w:szCs w:val="24"/>
        </w:rPr>
        <w:fldChar w:fldCharType="begin"/>
      </w:r>
      <w:r w:rsidRPr="00387787">
        <w:rPr>
          <w:rFonts w:ascii="Arial Narrow" w:hAnsi="Arial Narrow"/>
          <w:szCs w:val="24"/>
        </w:rPr>
        <w:instrText xml:space="preserve"> SEQ Table \* ARABIC </w:instrText>
      </w:r>
      <w:r w:rsidRPr="00387787">
        <w:rPr>
          <w:rFonts w:ascii="Arial Narrow" w:hAnsi="Arial Narrow"/>
          <w:szCs w:val="24"/>
        </w:rPr>
        <w:fldChar w:fldCharType="separate"/>
      </w:r>
      <w:r w:rsidR="00C93E55">
        <w:rPr>
          <w:rFonts w:ascii="Arial Narrow" w:hAnsi="Arial Narrow"/>
          <w:noProof/>
          <w:szCs w:val="24"/>
        </w:rPr>
        <w:t>11</w:t>
      </w:r>
      <w:r w:rsidRPr="00387787">
        <w:rPr>
          <w:rFonts w:ascii="Arial Narrow" w:hAnsi="Arial Narrow"/>
          <w:szCs w:val="24"/>
        </w:rPr>
        <w:fldChar w:fldCharType="end"/>
      </w:r>
      <w:r w:rsidRPr="00387787">
        <w:rPr>
          <w:rFonts w:ascii="Arial Narrow" w:hAnsi="Arial Narrow"/>
          <w:szCs w:val="24"/>
        </w:rPr>
        <w:t>. Summary of notable drought episodes at the Noro–Munda Basin.</w:t>
      </w:r>
      <w:bookmarkEnd w:id="127"/>
    </w:p>
    <w:tbl>
      <w:tblPr>
        <w:tblStyle w:val="TableGrid"/>
        <w:tblW w:w="9360" w:type="dxa"/>
        <w:tblLook w:val="04A0" w:firstRow="1" w:lastRow="0" w:firstColumn="1" w:lastColumn="0" w:noHBand="0" w:noVBand="1"/>
      </w:tblPr>
      <w:tblGrid>
        <w:gridCol w:w="2335"/>
        <w:gridCol w:w="1620"/>
        <w:gridCol w:w="1645"/>
        <w:gridCol w:w="1400"/>
        <w:gridCol w:w="2360"/>
      </w:tblGrid>
      <w:tr w:rsidR="00387787" w:rsidRPr="00387787" w14:paraId="26E5B02D" w14:textId="77777777" w:rsidTr="00387787">
        <w:tc>
          <w:tcPr>
            <w:tcW w:w="2335" w:type="dxa"/>
          </w:tcPr>
          <w:p w14:paraId="6EE64420"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b/>
                <w:bCs/>
              </w:rPr>
              <w:t>Episode</w:t>
            </w:r>
          </w:p>
        </w:tc>
        <w:tc>
          <w:tcPr>
            <w:tcW w:w="1620" w:type="dxa"/>
          </w:tcPr>
          <w:p w14:paraId="12D07724"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b/>
                <w:bCs/>
              </w:rPr>
              <w:t>Duration (months)</w:t>
            </w:r>
          </w:p>
        </w:tc>
        <w:tc>
          <w:tcPr>
            <w:tcW w:w="1645" w:type="dxa"/>
          </w:tcPr>
          <w:p w14:paraId="627748C3"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b/>
                <w:bCs/>
              </w:rPr>
              <w:t>Drier Months (1-mo)</w:t>
            </w:r>
          </w:p>
        </w:tc>
        <w:tc>
          <w:tcPr>
            <w:tcW w:w="1400" w:type="dxa"/>
          </w:tcPr>
          <w:p w14:paraId="152F52E2"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b/>
                <w:bCs/>
              </w:rPr>
              <w:t>PEAC-Red</w:t>
            </w:r>
          </w:p>
        </w:tc>
        <w:tc>
          <w:tcPr>
            <w:tcW w:w="2360" w:type="dxa"/>
          </w:tcPr>
          <w:p w14:paraId="538B6D1C"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b/>
                <w:bCs/>
              </w:rPr>
              <w:t>Min Precip. (mm)</w:t>
            </w:r>
          </w:p>
        </w:tc>
      </w:tr>
      <w:tr w:rsidR="00387787" w:rsidRPr="00387787" w14:paraId="4FF56C8D" w14:textId="77777777" w:rsidTr="00387787">
        <w:tc>
          <w:tcPr>
            <w:tcW w:w="2335" w:type="dxa"/>
          </w:tcPr>
          <w:p w14:paraId="54A4827E"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Nov 2002 – May 2003</w:t>
            </w:r>
          </w:p>
        </w:tc>
        <w:tc>
          <w:tcPr>
            <w:tcW w:w="1620" w:type="dxa"/>
          </w:tcPr>
          <w:p w14:paraId="462EF4F0"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7</w:t>
            </w:r>
          </w:p>
        </w:tc>
        <w:tc>
          <w:tcPr>
            <w:tcW w:w="1645" w:type="dxa"/>
          </w:tcPr>
          <w:p w14:paraId="12777AE0"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6</w:t>
            </w:r>
          </w:p>
        </w:tc>
        <w:tc>
          <w:tcPr>
            <w:tcW w:w="1400" w:type="dxa"/>
          </w:tcPr>
          <w:p w14:paraId="0CB19521"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1</w:t>
            </w:r>
          </w:p>
        </w:tc>
        <w:tc>
          <w:tcPr>
            <w:tcW w:w="2360" w:type="dxa"/>
          </w:tcPr>
          <w:p w14:paraId="13B2DDD8"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53.2</w:t>
            </w:r>
          </w:p>
        </w:tc>
      </w:tr>
      <w:tr w:rsidR="00387787" w:rsidRPr="00387787" w14:paraId="6873EE2C" w14:textId="77777777" w:rsidTr="00387787">
        <w:tc>
          <w:tcPr>
            <w:tcW w:w="2335" w:type="dxa"/>
          </w:tcPr>
          <w:p w14:paraId="15524932"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Jun 2005 – Dec 2005</w:t>
            </w:r>
          </w:p>
        </w:tc>
        <w:tc>
          <w:tcPr>
            <w:tcW w:w="1620" w:type="dxa"/>
          </w:tcPr>
          <w:p w14:paraId="10CED331"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7</w:t>
            </w:r>
          </w:p>
        </w:tc>
        <w:tc>
          <w:tcPr>
            <w:tcW w:w="1645" w:type="dxa"/>
          </w:tcPr>
          <w:p w14:paraId="6988B1F9"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5</w:t>
            </w:r>
          </w:p>
        </w:tc>
        <w:tc>
          <w:tcPr>
            <w:tcW w:w="1400" w:type="dxa"/>
          </w:tcPr>
          <w:p w14:paraId="3C209FFC"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1</w:t>
            </w:r>
          </w:p>
        </w:tc>
        <w:tc>
          <w:tcPr>
            <w:tcW w:w="2360" w:type="dxa"/>
          </w:tcPr>
          <w:p w14:paraId="4AA64A0F"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83.8</w:t>
            </w:r>
          </w:p>
        </w:tc>
      </w:tr>
      <w:tr w:rsidR="00387787" w:rsidRPr="00387787" w14:paraId="7D955770" w14:textId="77777777" w:rsidTr="00387787">
        <w:tc>
          <w:tcPr>
            <w:tcW w:w="2335" w:type="dxa"/>
          </w:tcPr>
          <w:p w14:paraId="42850E30"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Nov 2006 – Apr 2007</w:t>
            </w:r>
          </w:p>
        </w:tc>
        <w:tc>
          <w:tcPr>
            <w:tcW w:w="1620" w:type="dxa"/>
          </w:tcPr>
          <w:p w14:paraId="057E191D"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6</w:t>
            </w:r>
          </w:p>
        </w:tc>
        <w:tc>
          <w:tcPr>
            <w:tcW w:w="1645" w:type="dxa"/>
          </w:tcPr>
          <w:p w14:paraId="51962090"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3</w:t>
            </w:r>
          </w:p>
        </w:tc>
        <w:tc>
          <w:tcPr>
            <w:tcW w:w="1400" w:type="dxa"/>
          </w:tcPr>
          <w:p w14:paraId="076C028B"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0</w:t>
            </w:r>
          </w:p>
        </w:tc>
        <w:tc>
          <w:tcPr>
            <w:tcW w:w="2360" w:type="dxa"/>
          </w:tcPr>
          <w:p w14:paraId="55AA33E2"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120.0</w:t>
            </w:r>
          </w:p>
        </w:tc>
      </w:tr>
      <w:tr w:rsidR="00387787" w:rsidRPr="00387787" w14:paraId="2FE147A9" w14:textId="77777777" w:rsidTr="00387787">
        <w:tc>
          <w:tcPr>
            <w:tcW w:w="2335" w:type="dxa"/>
          </w:tcPr>
          <w:p w14:paraId="65486AEE"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Jul 2003 – Nov 2003</w:t>
            </w:r>
          </w:p>
        </w:tc>
        <w:tc>
          <w:tcPr>
            <w:tcW w:w="1620" w:type="dxa"/>
          </w:tcPr>
          <w:p w14:paraId="263B276C"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5</w:t>
            </w:r>
          </w:p>
        </w:tc>
        <w:tc>
          <w:tcPr>
            <w:tcW w:w="1645" w:type="dxa"/>
          </w:tcPr>
          <w:p w14:paraId="4664107B"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3</w:t>
            </w:r>
          </w:p>
        </w:tc>
        <w:tc>
          <w:tcPr>
            <w:tcW w:w="1400" w:type="dxa"/>
          </w:tcPr>
          <w:p w14:paraId="07D92C02"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1</w:t>
            </w:r>
          </w:p>
        </w:tc>
        <w:tc>
          <w:tcPr>
            <w:tcW w:w="2360" w:type="dxa"/>
          </w:tcPr>
          <w:p w14:paraId="3179FCBA"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84.5</w:t>
            </w:r>
          </w:p>
        </w:tc>
      </w:tr>
      <w:tr w:rsidR="00387787" w:rsidRPr="00387787" w14:paraId="0E37C08D" w14:textId="77777777" w:rsidTr="00387787">
        <w:tc>
          <w:tcPr>
            <w:tcW w:w="2335" w:type="dxa"/>
          </w:tcPr>
          <w:p w14:paraId="7086DAEF"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Aug 2015 – Nov 2015</w:t>
            </w:r>
          </w:p>
        </w:tc>
        <w:tc>
          <w:tcPr>
            <w:tcW w:w="1620" w:type="dxa"/>
          </w:tcPr>
          <w:p w14:paraId="0089FA0A"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4</w:t>
            </w:r>
          </w:p>
        </w:tc>
        <w:tc>
          <w:tcPr>
            <w:tcW w:w="1645" w:type="dxa"/>
          </w:tcPr>
          <w:p w14:paraId="484A04CF"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3</w:t>
            </w:r>
          </w:p>
        </w:tc>
        <w:tc>
          <w:tcPr>
            <w:tcW w:w="1400" w:type="dxa"/>
          </w:tcPr>
          <w:p w14:paraId="5AA7555C"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0</w:t>
            </w:r>
          </w:p>
        </w:tc>
        <w:tc>
          <w:tcPr>
            <w:tcW w:w="2360" w:type="dxa"/>
          </w:tcPr>
          <w:p w14:paraId="60829FC2"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143.0</w:t>
            </w:r>
          </w:p>
        </w:tc>
      </w:tr>
      <w:tr w:rsidR="00387787" w:rsidRPr="00387787" w14:paraId="036E9AAF" w14:textId="77777777" w:rsidTr="00387787">
        <w:tc>
          <w:tcPr>
            <w:tcW w:w="2335" w:type="dxa"/>
          </w:tcPr>
          <w:p w14:paraId="0BE2AA5B"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Jul 2022 – Oct 2022</w:t>
            </w:r>
          </w:p>
        </w:tc>
        <w:tc>
          <w:tcPr>
            <w:tcW w:w="1620" w:type="dxa"/>
          </w:tcPr>
          <w:p w14:paraId="11AE2354"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4</w:t>
            </w:r>
          </w:p>
        </w:tc>
        <w:tc>
          <w:tcPr>
            <w:tcW w:w="1645" w:type="dxa"/>
          </w:tcPr>
          <w:p w14:paraId="608DFED1"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2</w:t>
            </w:r>
          </w:p>
        </w:tc>
        <w:tc>
          <w:tcPr>
            <w:tcW w:w="1400" w:type="dxa"/>
          </w:tcPr>
          <w:p w14:paraId="427585B2"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1</w:t>
            </w:r>
          </w:p>
        </w:tc>
        <w:tc>
          <w:tcPr>
            <w:tcW w:w="2360" w:type="dxa"/>
          </w:tcPr>
          <w:p w14:paraId="3196DB7A" w14:textId="77777777" w:rsidR="00713C2A" w:rsidRPr="00387787" w:rsidRDefault="00713C2A" w:rsidP="00387787">
            <w:pPr>
              <w:spacing w:line="480" w:lineRule="auto"/>
              <w:rPr>
                <w:rFonts w:ascii="Arial Narrow" w:hAnsi="Arial Narrow"/>
              </w:rPr>
            </w:pPr>
            <w:r w:rsidRPr="00387787">
              <w:rPr>
                <w:rFonts w:ascii="Arial Narrow" w:eastAsia="Times New Roman" w:hAnsi="Arial Narrow" w:cs="Times New Roman"/>
              </w:rPr>
              <w:t>41.5</w:t>
            </w:r>
          </w:p>
        </w:tc>
      </w:tr>
    </w:tbl>
    <w:p w14:paraId="23F5AD08" w14:textId="77777777" w:rsidR="0070050B" w:rsidRDefault="0070050B" w:rsidP="0070050B">
      <w:pPr>
        <w:spacing w:line="276" w:lineRule="auto"/>
        <w:rPr>
          <w:rFonts w:eastAsia="Times New Roman" w:cs="Times New Roman"/>
        </w:rPr>
      </w:pPr>
    </w:p>
    <w:p w14:paraId="1039BC8C" w14:textId="77777777" w:rsidR="00D14212" w:rsidRDefault="0070050B" w:rsidP="00D14212">
      <w:pPr>
        <w:ind w:firstLine="720"/>
      </w:pPr>
      <w:r>
        <w:rPr>
          <w:rFonts w:eastAsia="Times New Roman" w:cs="Times New Roman"/>
        </w:rPr>
        <w:t>The three Solomon Islands monitoring locations exhibit highly synchronized drought patterns, consistent with their close geographic proximity within the New Georgia group. Major drought episodes</w:t>
      </w:r>
      <w:r w:rsidR="00D14212">
        <w:rPr>
          <w:rFonts w:eastAsia="Times New Roman" w:cs="Times New Roman"/>
        </w:rPr>
        <w:t xml:space="preserve">; </w:t>
      </w:r>
      <w:r>
        <w:rPr>
          <w:rFonts w:eastAsia="Times New Roman" w:cs="Times New Roman"/>
        </w:rPr>
        <w:t>most notably the November 2002 through May 2003, June through November 2005, and November 2006 through April 2007 events</w:t>
      </w:r>
      <w:r w:rsidR="00D14212">
        <w:rPr>
          <w:rFonts w:eastAsia="Times New Roman" w:cs="Times New Roman"/>
        </w:rPr>
        <w:t xml:space="preserve">; </w:t>
      </w:r>
      <w:r>
        <w:rPr>
          <w:rFonts w:eastAsia="Times New Roman" w:cs="Times New Roman"/>
        </w:rPr>
        <w:t>occur simultaneously across all three sites, with only modest differences in duration and severity. This spatial coherence provides confidence that the identified drought signals are driven by regional-scale climate forcing rather than local measurement artifacts.</w:t>
      </w:r>
    </w:p>
    <w:p w14:paraId="5CDDAA0C" w14:textId="77777777" w:rsidR="00282818" w:rsidRDefault="0070050B" w:rsidP="00282818">
      <w:pPr>
        <w:ind w:firstLine="720"/>
      </w:pPr>
      <w:r>
        <w:rPr>
          <w:rFonts w:eastAsia="Times New Roman" w:cs="Times New Roman"/>
        </w:rPr>
        <w:t xml:space="preserve">Compared to the other nations in the monitoring network, the Solomon Islands sites are distinguished by their high absolute rainfall and very low PEAC-Red frequency. Only 2 to 3 percent of months fell below the 4-inch threshold at these sites, compared to 11 percent at Majuro, 18 percent at Yap, and 52 percent </w:t>
      </w:r>
      <w:proofErr w:type="gramStart"/>
      <w:r>
        <w:rPr>
          <w:rFonts w:eastAsia="Times New Roman" w:cs="Times New Roman"/>
        </w:rPr>
        <w:t>at</w:t>
      </w:r>
      <w:proofErr w:type="gramEnd"/>
      <w:r>
        <w:rPr>
          <w:rFonts w:eastAsia="Times New Roman" w:cs="Times New Roman"/>
        </w:rPr>
        <w:t xml:space="preserve"> Nauru. This means that droughts in the Solomon Islands are primarily relative events</w:t>
      </w:r>
      <w:r w:rsidR="00282818">
        <w:rPr>
          <w:rFonts w:eastAsia="Times New Roman" w:cs="Times New Roman"/>
        </w:rPr>
        <w:t xml:space="preserve"> (</w:t>
      </w:r>
      <w:r>
        <w:rPr>
          <w:rFonts w:eastAsia="Times New Roman" w:cs="Times New Roman"/>
        </w:rPr>
        <w:t>departures from the site’s own high baseline</w:t>
      </w:r>
      <w:r w:rsidR="00282818">
        <w:rPr>
          <w:rFonts w:eastAsia="Times New Roman" w:cs="Times New Roman"/>
        </w:rPr>
        <w:t xml:space="preserve">) </w:t>
      </w:r>
      <w:r>
        <w:rPr>
          <w:rFonts w:eastAsia="Times New Roman" w:cs="Times New Roman"/>
        </w:rPr>
        <w:t xml:space="preserve">rather than periods of absolute water supply inadequacy. The quintile-based Rainfall Index is therefore the </w:t>
      </w:r>
      <w:r>
        <w:rPr>
          <w:rFonts w:eastAsia="Times New Roman" w:cs="Times New Roman"/>
        </w:rPr>
        <w:lastRenderedPageBreak/>
        <w:t xml:space="preserve">more relevant drought metric at these sites, as the PEAC index rarely reaches the </w:t>
      </w:r>
      <w:proofErr w:type="gramStart"/>
      <w:r>
        <w:rPr>
          <w:rFonts w:eastAsia="Times New Roman" w:cs="Times New Roman"/>
        </w:rPr>
        <w:t>Red</w:t>
      </w:r>
      <w:proofErr w:type="gramEnd"/>
      <w:r>
        <w:rPr>
          <w:rFonts w:eastAsia="Times New Roman" w:cs="Times New Roman"/>
        </w:rPr>
        <w:t xml:space="preserve"> threshold even during significant dry spells.</w:t>
      </w:r>
    </w:p>
    <w:p w14:paraId="2E0BEC74" w14:textId="77777777" w:rsidR="00471064" w:rsidRDefault="0070050B" w:rsidP="00471064">
      <w:pPr>
        <w:ind w:firstLine="720"/>
      </w:pPr>
      <w:r>
        <w:rPr>
          <w:rFonts w:eastAsia="Times New Roman" w:cs="Times New Roman"/>
        </w:rPr>
        <w:t>The seasonal timing of drought episodes at the Solomon Islands sites differs from the Micronesian and Marshall Islands locations. Because the Solomon Islands are in the Southern Hemisphere, the driest months (September through November) correspond to the austral spring, and many drought episodes initiate or intensify during this period. This seasonality should inform water management planning, as the dry-season months of September through November represent the period of greatest vulnerability.</w:t>
      </w:r>
    </w:p>
    <w:p w14:paraId="1EA9B985" w14:textId="7E0557F2" w:rsidR="0070050B" w:rsidRDefault="0070050B" w:rsidP="00471064">
      <w:pPr>
        <w:ind w:firstLine="720"/>
      </w:pPr>
      <w:r>
        <w:rPr>
          <w:rFonts w:eastAsia="Times New Roman" w:cs="Times New Roman"/>
        </w:rPr>
        <w:t xml:space="preserve">The inclusion of the Noro–Munda Basin as a monitoring location alongside the </w:t>
      </w:r>
      <w:proofErr w:type="gramStart"/>
      <w:r>
        <w:rPr>
          <w:rFonts w:eastAsia="Times New Roman" w:cs="Times New Roman"/>
        </w:rPr>
        <w:t>two point</w:t>
      </w:r>
      <w:proofErr w:type="gramEnd"/>
      <w:r>
        <w:rPr>
          <w:rFonts w:eastAsia="Times New Roman" w:cs="Times New Roman"/>
        </w:rPr>
        <w:t xml:space="preserve"> locations </w:t>
      </w:r>
      <w:proofErr w:type="gramStart"/>
      <w:r>
        <w:rPr>
          <w:rFonts w:eastAsia="Times New Roman" w:cs="Times New Roman"/>
        </w:rPr>
        <w:t>provides</w:t>
      </w:r>
      <w:proofErr w:type="gramEnd"/>
      <w:r>
        <w:rPr>
          <w:rFonts w:eastAsia="Times New Roman" w:cs="Times New Roman"/>
        </w:rPr>
        <w:t xml:space="preserve"> a useful check on spatial representativeness. The close agreement between basin-scale and point-location results confirms that the IMERG 0.1° resolution adequately captures precipitation variability across this scale, and that the drought signals are robust to the choice of monitoring polygon.</w:t>
      </w:r>
    </w:p>
    <w:p w14:paraId="188A1F8B" w14:textId="0078E762" w:rsidR="00647E4D" w:rsidRPr="003C4332" w:rsidRDefault="00647E4D" w:rsidP="003C4332">
      <w:pPr>
        <w:pStyle w:val="Caption"/>
        <w:keepNext/>
        <w:rPr>
          <w:rFonts w:ascii="Arial Narrow" w:hAnsi="Arial Narrow"/>
          <w:szCs w:val="24"/>
        </w:rPr>
      </w:pPr>
      <w:bookmarkStart w:id="128" w:name="_Toc228285978"/>
      <w:r w:rsidRPr="003C4332">
        <w:rPr>
          <w:rFonts w:ascii="Arial Narrow" w:hAnsi="Arial Narrow"/>
          <w:szCs w:val="24"/>
        </w:rPr>
        <w:t xml:space="preserve">Table </w:t>
      </w:r>
      <w:r w:rsidRPr="003C4332">
        <w:rPr>
          <w:rFonts w:ascii="Arial Narrow" w:hAnsi="Arial Narrow"/>
          <w:szCs w:val="24"/>
        </w:rPr>
        <w:fldChar w:fldCharType="begin"/>
      </w:r>
      <w:r w:rsidRPr="003C4332">
        <w:rPr>
          <w:rFonts w:ascii="Arial Narrow" w:hAnsi="Arial Narrow"/>
          <w:szCs w:val="24"/>
        </w:rPr>
        <w:instrText xml:space="preserve"> SEQ Table \* ARABIC </w:instrText>
      </w:r>
      <w:r w:rsidRPr="003C4332">
        <w:rPr>
          <w:rFonts w:ascii="Arial Narrow" w:hAnsi="Arial Narrow"/>
          <w:szCs w:val="24"/>
        </w:rPr>
        <w:fldChar w:fldCharType="separate"/>
      </w:r>
      <w:r w:rsidR="00C93E55">
        <w:rPr>
          <w:rFonts w:ascii="Arial Narrow" w:hAnsi="Arial Narrow"/>
          <w:noProof/>
          <w:szCs w:val="24"/>
        </w:rPr>
        <w:t>12</w:t>
      </w:r>
      <w:r w:rsidRPr="003C4332">
        <w:rPr>
          <w:rFonts w:ascii="Arial Narrow" w:hAnsi="Arial Narrow"/>
          <w:szCs w:val="24"/>
        </w:rPr>
        <w:fldChar w:fldCharType="end"/>
      </w:r>
      <w:r w:rsidRPr="003C4332">
        <w:rPr>
          <w:rFonts w:ascii="Arial Narrow" w:hAnsi="Arial Narrow"/>
          <w:szCs w:val="24"/>
        </w:rPr>
        <w:t>. Quintile-based Rainfall Index category frequency by location and accumulation window.</w:t>
      </w:r>
      <w:bookmarkEnd w:id="128"/>
    </w:p>
    <w:tbl>
      <w:tblPr>
        <w:tblStyle w:val="TableGrid"/>
        <w:tblW w:w="8760" w:type="dxa"/>
        <w:tblLook w:val="04A0" w:firstRow="1" w:lastRow="0" w:firstColumn="1" w:lastColumn="0" w:noHBand="0" w:noVBand="1"/>
      </w:tblPr>
      <w:tblGrid>
        <w:gridCol w:w="1100"/>
        <w:gridCol w:w="1200"/>
        <w:gridCol w:w="1000"/>
        <w:gridCol w:w="1000"/>
        <w:gridCol w:w="1100"/>
        <w:gridCol w:w="1000"/>
        <w:gridCol w:w="2360"/>
      </w:tblGrid>
      <w:tr w:rsidR="003C4332" w:rsidRPr="003C4332" w14:paraId="089015D1" w14:textId="77777777" w:rsidTr="00647E4D">
        <w:tc>
          <w:tcPr>
            <w:tcW w:w="1100" w:type="dxa"/>
          </w:tcPr>
          <w:p w14:paraId="703EDFB5"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b/>
                <w:bCs/>
              </w:rPr>
              <w:t>Location</w:t>
            </w:r>
          </w:p>
        </w:tc>
        <w:tc>
          <w:tcPr>
            <w:tcW w:w="1200" w:type="dxa"/>
          </w:tcPr>
          <w:p w14:paraId="37190C0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b/>
                <w:bCs/>
              </w:rPr>
              <w:t>Window</w:t>
            </w:r>
          </w:p>
        </w:tc>
        <w:tc>
          <w:tcPr>
            <w:tcW w:w="1000" w:type="dxa"/>
          </w:tcPr>
          <w:p w14:paraId="56EF4A53"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b/>
                <w:bCs/>
              </w:rPr>
              <w:t>Drier</w:t>
            </w:r>
          </w:p>
        </w:tc>
        <w:tc>
          <w:tcPr>
            <w:tcW w:w="1000" w:type="dxa"/>
          </w:tcPr>
          <w:p w14:paraId="35032D91"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b/>
                <w:bCs/>
              </w:rPr>
              <w:t>Dry</w:t>
            </w:r>
          </w:p>
        </w:tc>
        <w:tc>
          <w:tcPr>
            <w:tcW w:w="1100" w:type="dxa"/>
          </w:tcPr>
          <w:p w14:paraId="55F7DE3A"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b/>
                <w:bCs/>
              </w:rPr>
              <w:t>Typical</w:t>
            </w:r>
          </w:p>
        </w:tc>
        <w:tc>
          <w:tcPr>
            <w:tcW w:w="1000" w:type="dxa"/>
          </w:tcPr>
          <w:p w14:paraId="21154D02"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b/>
                <w:bCs/>
              </w:rPr>
              <w:t>Wet</w:t>
            </w:r>
          </w:p>
        </w:tc>
        <w:tc>
          <w:tcPr>
            <w:tcW w:w="2360" w:type="dxa"/>
          </w:tcPr>
          <w:p w14:paraId="49381BD2"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b/>
                <w:bCs/>
              </w:rPr>
              <w:t>Wetter</w:t>
            </w:r>
          </w:p>
        </w:tc>
      </w:tr>
      <w:tr w:rsidR="003C4332" w:rsidRPr="003C4332" w14:paraId="4FC1E324" w14:textId="77777777" w:rsidTr="00647E4D">
        <w:tc>
          <w:tcPr>
            <w:tcW w:w="1100" w:type="dxa"/>
          </w:tcPr>
          <w:p w14:paraId="1AA1B431"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Munda</w:t>
            </w:r>
          </w:p>
        </w:tc>
        <w:tc>
          <w:tcPr>
            <w:tcW w:w="1200" w:type="dxa"/>
          </w:tcPr>
          <w:p w14:paraId="488A774B"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1-month</w:t>
            </w:r>
          </w:p>
        </w:tc>
        <w:tc>
          <w:tcPr>
            <w:tcW w:w="1000" w:type="dxa"/>
          </w:tcPr>
          <w:p w14:paraId="030F5AA2"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1000" w:type="dxa"/>
          </w:tcPr>
          <w:p w14:paraId="7F1498EB"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64</w:t>
            </w:r>
          </w:p>
        </w:tc>
        <w:tc>
          <w:tcPr>
            <w:tcW w:w="1100" w:type="dxa"/>
          </w:tcPr>
          <w:p w14:paraId="543B65AF"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1000" w:type="dxa"/>
          </w:tcPr>
          <w:p w14:paraId="05B8D42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64</w:t>
            </w:r>
          </w:p>
        </w:tc>
        <w:tc>
          <w:tcPr>
            <w:tcW w:w="2360" w:type="dxa"/>
          </w:tcPr>
          <w:p w14:paraId="1EAF8D06"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r w:rsidR="003C4332" w:rsidRPr="003C4332" w14:paraId="24EB7B9B" w14:textId="77777777" w:rsidTr="00647E4D">
        <w:tc>
          <w:tcPr>
            <w:tcW w:w="1100" w:type="dxa"/>
          </w:tcPr>
          <w:p w14:paraId="5C33AC40"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Munda</w:t>
            </w:r>
          </w:p>
        </w:tc>
        <w:tc>
          <w:tcPr>
            <w:tcW w:w="1200" w:type="dxa"/>
          </w:tcPr>
          <w:p w14:paraId="4563FABA"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3-month</w:t>
            </w:r>
          </w:p>
        </w:tc>
        <w:tc>
          <w:tcPr>
            <w:tcW w:w="1000" w:type="dxa"/>
          </w:tcPr>
          <w:p w14:paraId="2796857E"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61</w:t>
            </w:r>
          </w:p>
        </w:tc>
        <w:tc>
          <w:tcPr>
            <w:tcW w:w="1000" w:type="dxa"/>
          </w:tcPr>
          <w:p w14:paraId="548BF708"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1100" w:type="dxa"/>
          </w:tcPr>
          <w:p w14:paraId="1890D9F5"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1000" w:type="dxa"/>
          </w:tcPr>
          <w:p w14:paraId="08063CA3"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67</w:t>
            </w:r>
          </w:p>
        </w:tc>
        <w:tc>
          <w:tcPr>
            <w:tcW w:w="2360" w:type="dxa"/>
          </w:tcPr>
          <w:p w14:paraId="7250E844"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60</w:t>
            </w:r>
          </w:p>
        </w:tc>
      </w:tr>
      <w:tr w:rsidR="003C4332" w:rsidRPr="003C4332" w14:paraId="4452B232" w14:textId="77777777" w:rsidTr="00647E4D">
        <w:tc>
          <w:tcPr>
            <w:tcW w:w="1100" w:type="dxa"/>
          </w:tcPr>
          <w:p w14:paraId="78F1A95E"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Munda</w:t>
            </w:r>
          </w:p>
        </w:tc>
        <w:tc>
          <w:tcPr>
            <w:tcW w:w="1200" w:type="dxa"/>
          </w:tcPr>
          <w:p w14:paraId="69FB86F6"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6-month</w:t>
            </w:r>
          </w:p>
        </w:tc>
        <w:tc>
          <w:tcPr>
            <w:tcW w:w="1000" w:type="dxa"/>
          </w:tcPr>
          <w:p w14:paraId="71758978"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60</w:t>
            </w:r>
          </w:p>
        </w:tc>
        <w:tc>
          <w:tcPr>
            <w:tcW w:w="1000" w:type="dxa"/>
          </w:tcPr>
          <w:p w14:paraId="4527B555"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63</w:t>
            </w:r>
          </w:p>
        </w:tc>
        <w:tc>
          <w:tcPr>
            <w:tcW w:w="1100" w:type="dxa"/>
          </w:tcPr>
          <w:p w14:paraId="1F6457B8"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57</w:t>
            </w:r>
          </w:p>
        </w:tc>
        <w:tc>
          <w:tcPr>
            <w:tcW w:w="1000" w:type="dxa"/>
          </w:tcPr>
          <w:p w14:paraId="6785FF83"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67</w:t>
            </w:r>
          </w:p>
        </w:tc>
        <w:tc>
          <w:tcPr>
            <w:tcW w:w="2360" w:type="dxa"/>
          </w:tcPr>
          <w:p w14:paraId="1AA84458"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r w:rsidR="003C4332" w:rsidRPr="003C4332" w14:paraId="0DDFD085" w14:textId="77777777" w:rsidTr="00647E4D">
        <w:tc>
          <w:tcPr>
            <w:tcW w:w="1100" w:type="dxa"/>
          </w:tcPr>
          <w:p w14:paraId="338AF3EB"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Noro</w:t>
            </w:r>
          </w:p>
        </w:tc>
        <w:tc>
          <w:tcPr>
            <w:tcW w:w="1200" w:type="dxa"/>
          </w:tcPr>
          <w:p w14:paraId="74BC4A58"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1-month</w:t>
            </w:r>
          </w:p>
        </w:tc>
        <w:tc>
          <w:tcPr>
            <w:tcW w:w="1000" w:type="dxa"/>
          </w:tcPr>
          <w:p w14:paraId="767D1936"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63</w:t>
            </w:r>
          </w:p>
        </w:tc>
        <w:tc>
          <w:tcPr>
            <w:tcW w:w="1000" w:type="dxa"/>
          </w:tcPr>
          <w:p w14:paraId="383D2793"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1100" w:type="dxa"/>
          </w:tcPr>
          <w:p w14:paraId="1D240F1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66</w:t>
            </w:r>
          </w:p>
        </w:tc>
        <w:tc>
          <w:tcPr>
            <w:tcW w:w="1000" w:type="dxa"/>
          </w:tcPr>
          <w:p w14:paraId="0B63B349"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61</w:t>
            </w:r>
          </w:p>
        </w:tc>
        <w:tc>
          <w:tcPr>
            <w:tcW w:w="2360" w:type="dxa"/>
          </w:tcPr>
          <w:p w14:paraId="0AE1A76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r w:rsidR="003C4332" w:rsidRPr="003C4332" w14:paraId="21D4E45F" w14:textId="77777777" w:rsidTr="00647E4D">
        <w:tc>
          <w:tcPr>
            <w:tcW w:w="1100" w:type="dxa"/>
          </w:tcPr>
          <w:p w14:paraId="5E4F3756"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Noro</w:t>
            </w:r>
          </w:p>
        </w:tc>
        <w:tc>
          <w:tcPr>
            <w:tcW w:w="1200" w:type="dxa"/>
          </w:tcPr>
          <w:p w14:paraId="200AC0DA"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3-month</w:t>
            </w:r>
          </w:p>
        </w:tc>
        <w:tc>
          <w:tcPr>
            <w:tcW w:w="1000" w:type="dxa"/>
          </w:tcPr>
          <w:p w14:paraId="5795202B"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60</w:t>
            </w:r>
          </w:p>
        </w:tc>
        <w:tc>
          <w:tcPr>
            <w:tcW w:w="1000" w:type="dxa"/>
          </w:tcPr>
          <w:p w14:paraId="0EFFFB93"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66</w:t>
            </w:r>
          </w:p>
        </w:tc>
        <w:tc>
          <w:tcPr>
            <w:tcW w:w="1100" w:type="dxa"/>
          </w:tcPr>
          <w:p w14:paraId="0D62E3BD"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59</w:t>
            </w:r>
          </w:p>
        </w:tc>
        <w:tc>
          <w:tcPr>
            <w:tcW w:w="1000" w:type="dxa"/>
          </w:tcPr>
          <w:p w14:paraId="25C77904"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65</w:t>
            </w:r>
          </w:p>
        </w:tc>
        <w:tc>
          <w:tcPr>
            <w:tcW w:w="2360" w:type="dxa"/>
          </w:tcPr>
          <w:p w14:paraId="707A607F"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r w:rsidR="003C4332" w:rsidRPr="003C4332" w14:paraId="3232E147" w14:textId="77777777" w:rsidTr="00647E4D">
        <w:tc>
          <w:tcPr>
            <w:tcW w:w="1100" w:type="dxa"/>
          </w:tcPr>
          <w:p w14:paraId="7F49CA4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Noro</w:t>
            </w:r>
          </w:p>
        </w:tc>
        <w:tc>
          <w:tcPr>
            <w:tcW w:w="1200" w:type="dxa"/>
          </w:tcPr>
          <w:p w14:paraId="4CE207B8"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6-month</w:t>
            </w:r>
          </w:p>
        </w:tc>
        <w:tc>
          <w:tcPr>
            <w:tcW w:w="1000" w:type="dxa"/>
          </w:tcPr>
          <w:p w14:paraId="164EF67D"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63</w:t>
            </w:r>
          </w:p>
        </w:tc>
        <w:tc>
          <w:tcPr>
            <w:tcW w:w="1000" w:type="dxa"/>
          </w:tcPr>
          <w:p w14:paraId="6E52C850"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60</w:t>
            </w:r>
          </w:p>
        </w:tc>
        <w:tc>
          <w:tcPr>
            <w:tcW w:w="1100" w:type="dxa"/>
          </w:tcPr>
          <w:p w14:paraId="78DB9A06"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58</w:t>
            </w:r>
          </w:p>
        </w:tc>
        <w:tc>
          <w:tcPr>
            <w:tcW w:w="1000" w:type="dxa"/>
          </w:tcPr>
          <w:p w14:paraId="1BB0C6DA"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66</w:t>
            </w:r>
          </w:p>
        </w:tc>
        <w:tc>
          <w:tcPr>
            <w:tcW w:w="2360" w:type="dxa"/>
          </w:tcPr>
          <w:p w14:paraId="67C9579C"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r w:rsidR="003C4332" w:rsidRPr="003C4332" w14:paraId="6CB341CF" w14:textId="77777777" w:rsidTr="00647E4D">
        <w:tc>
          <w:tcPr>
            <w:tcW w:w="1100" w:type="dxa"/>
          </w:tcPr>
          <w:p w14:paraId="64F91FF5"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Basin</w:t>
            </w:r>
          </w:p>
        </w:tc>
        <w:tc>
          <w:tcPr>
            <w:tcW w:w="1200" w:type="dxa"/>
          </w:tcPr>
          <w:p w14:paraId="444BD890"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1-month</w:t>
            </w:r>
          </w:p>
        </w:tc>
        <w:tc>
          <w:tcPr>
            <w:tcW w:w="1000" w:type="dxa"/>
          </w:tcPr>
          <w:p w14:paraId="2CBFEEFF"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1000" w:type="dxa"/>
          </w:tcPr>
          <w:p w14:paraId="5A406894"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63</w:t>
            </w:r>
          </w:p>
        </w:tc>
        <w:tc>
          <w:tcPr>
            <w:tcW w:w="1100" w:type="dxa"/>
          </w:tcPr>
          <w:p w14:paraId="73F8DB9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65</w:t>
            </w:r>
          </w:p>
        </w:tc>
        <w:tc>
          <w:tcPr>
            <w:tcW w:w="1000" w:type="dxa"/>
          </w:tcPr>
          <w:p w14:paraId="2D0D2A4A"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2360" w:type="dxa"/>
          </w:tcPr>
          <w:p w14:paraId="6D1C2B3A"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r w:rsidR="003C4332" w:rsidRPr="003C4332" w14:paraId="2C0F0B57" w14:textId="77777777" w:rsidTr="00647E4D">
        <w:tc>
          <w:tcPr>
            <w:tcW w:w="1100" w:type="dxa"/>
          </w:tcPr>
          <w:p w14:paraId="33F09836"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lastRenderedPageBreak/>
              <w:t>Basin</w:t>
            </w:r>
          </w:p>
        </w:tc>
        <w:tc>
          <w:tcPr>
            <w:tcW w:w="1200" w:type="dxa"/>
          </w:tcPr>
          <w:p w14:paraId="300C2CC1"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3-month</w:t>
            </w:r>
          </w:p>
        </w:tc>
        <w:tc>
          <w:tcPr>
            <w:tcW w:w="1000" w:type="dxa"/>
          </w:tcPr>
          <w:p w14:paraId="5E1DB97C"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61</w:t>
            </w:r>
          </w:p>
        </w:tc>
        <w:tc>
          <w:tcPr>
            <w:tcW w:w="1000" w:type="dxa"/>
          </w:tcPr>
          <w:p w14:paraId="3561ADED"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65</w:t>
            </w:r>
          </w:p>
        </w:tc>
        <w:tc>
          <w:tcPr>
            <w:tcW w:w="1100" w:type="dxa"/>
          </w:tcPr>
          <w:p w14:paraId="7F5A3BCE"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58</w:t>
            </w:r>
          </w:p>
        </w:tc>
        <w:tc>
          <w:tcPr>
            <w:tcW w:w="1000" w:type="dxa"/>
          </w:tcPr>
          <w:p w14:paraId="43B53E74"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66</w:t>
            </w:r>
          </w:p>
        </w:tc>
        <w:tc>
          <w:tcPr>
            <w:tcW w:w="2360" w:type="dxa"/>
          </w:tcPr>
          <w:p w14:paraId="1B29C248"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r w:rsidR="003C4332" w:rsidRPr="003C4332" w14:paraId="07C5A649" w14:textId="77777777" w:rsidTr="00647E4D">
        <w:tc>
          <w:tcPr>
            <w:tcW w:w="1100" w:type="dxa"/>
          </w:tcPr>
          <w:p w14:paraId="5832D182"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Basin</w:t>
            </w:r>
          </w:p>
        </w:tc>
        <w:tc>
          <w:tcPr>
            <w:tcW w:w="1200" w:type="dxa"/>
          </w:tcPr>
          <w:p w14:paraId="309C5E51"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6-month</w:t>
            </w:r>
          </w:p>
        </w:tc>
        <w:tc>
          <w:tcPr>
            <w:tcW w:w="1000" w:type="dxa"/>
          </w:tcPr>
          <w:p w14:paraId="79DB071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c>
          <w:tcPr>
            <w:tcW w:w="1000" w:type="dxa"/>
          </w:tcPr>
          <w:p w14:paraId="62ABEA00"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61</w:t>
            </w:r>
          </w:p>
        </w:tc>
        <w:tc>
          <w:tcPr>
            <w:tcW w:w="1100" w:type="dxa"/>
          </w:tcPr>
          <w:p w14:paraId="783CEA86"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57</w:t>
            </w:r>
          </w:p>
        </w:tc>
        <w:tc>
          <w:tcPr>
            <w:tcW w:w="1000" w:type="dxa"/>
          </w:tcPr>
          <w:p w14:paraId="53FDFF6E"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67</w:t>
            </w:r>
          </w:p>
        </w:tc>
        <w:tc>
          <w:tcPr>
            <w:tcW w:w="2360" w:type="dxa"/>
          </w:tcPr>
          <w:p w14:paraId="523CF667" w14:textId="77777777" w:rsidR="0070050B" w:rsidRPr="003C4332" w:rsidRDefault="0070050B" w:rsidP="003C4332">
            <w:pPr>
              <w:spacing w:line="480" w:lineRule="auto"/>
              <w:rPr>
                <w:rFonts w:ascii="Arial Narrow" w:hAnsi="Arial Narrow"/>
              </w:rPr>
            </w:pPr>
            <w:r w:rsidRPr="003C4332">
              <w:rPr>
                <w:rFonts w:ascii="Arial Narrow" w:eastAsia="Times New Roman" w:hAnsi="Arial Narrow" w:cs="Times New Roman"/>
              </w:rPr>
              <w:t>62</w:t>
            </w:r>
          </w:p>
        </w:tc>
      </w:tr>
    </w:tbl>
    <w:p w14:paraId="44890254" w14:textId="45FF996D" w:rsidR="0070050B" w:rsidRDefault="0070050B" w:rsidP="0070050B">
      <w:pPr>
        <w:spacing w:before="80" w:after="240"/>
      </w:pPr>
    </w:p>
    <w:p w14:paraId="5343CFB2" w14:textId="074D3A6E" w:rsidR="003C4332" w:rsidRPr="003C4332" w:rsidRDefault="003C4332" w:rsidP="003C4332">
      <w:pPr>
        <w:pStyle w:val="Caption"/>
        <w:keepNext/>
        <w:rPr>
          <w:rFonts w:ascii="Arial" w:hAnsi="Arial" w:cs="Arial"/>
          <w:szCs w:val="24"/>
        </w:rPr>
      </w:pPr>
      <w:bookmarkStart w:id="129" w:name="_Toc228285979"/>
      <w:r w:rsidRPr="003C4332">
        <w:rPr>
          <w:rFonts w:ascii="Arial" w:hAnsi="Arial" w:cs="Arial"/>
          <w:szCs w:val="24"/>
        </w:rPr>
        <w:t xml:space="preserve">Table </w:t>
      </w:r>
      <w:r w:rsidRPr="003C4332">
        <w:rPr>
          <w:rFonts w:ascii="Arial" w:hAnsi="Arial" w:cs="Arial"/>
          <w:szCs w:val="24"/>
        </w:rPr>
        <w:fldChar w:fldCharType="begin"/>
      </w:r>
      <w:r w:rsidRPr="003C4332">
        <w:rPr>
          <w:rFonts w:ascii="Arial" w:hAnsi="Arial" w:cs="Arial"/>
          <w:szCs w:val="24"/>
        </w:rPr>
        <w:instrText xml:space="preserve"> SEQ Table \* ARABIC </w:instrText>
      </w:r>
      <w:r w:rsidRPr="003C4332">
        <w:rPr>
          <w:rFonts w:ascii="Arial" w:hAnsi="Arial" w:cs="Arial"/>
          <w:szCs w:val="24"/>
        </w:rPr>
        <w:fldChar w:fldCharType="separate"/>
      </w:r>
      <w:r w:rsidR="00C93E55">
        <w:rPr>
          <w:rFonts w:ascii="Arial" w:hAnsi="Arial" w:cs="Arial"/>
          <w:noProof/>
          <w:szCs w:val="24"/>
        </w:rPr>
        <w:t>13</w:t>
      </w:r>
      <w:r w:rsidRPr="003C4332">
        <w:rPr>
          <w:rFonts w:ascii="Arial" w:hAnsi="Arial" w:cs="Arial"/>
          <w:szCs w:val="24"/>
        </w:rPr>
        <w:fldChar w:fldCharType="end"/>
      </w:r>
      <w:r w:rsidRPr="003C4332">
        <w:rPr>
          <w:rFonts w:ascii="Arial" w:hAnsi="Arial" w:cs="Arial"/>
          <w:szCs w:val="24"/>
        </w:rPr>
        <w:t>. PEAC 4/8-inch index frequency by location, January 2000 through February 2026</w:t>
      </w:r>
      <w:bookmarkEnd w:id="129"/>
    </w:p>
    <w:tbl>
      <w:tblPr>
        <w:tblStyle w:val="TableGrid"/>
        <w:tblW w:w="9360" w:type="dxa"/>
        <w:tblLook w:val="04A0" w:firstRow="1" w:lastRow="0" w:firstColumn="1" w:lastColumn="0" w:noHBand="0" w:noVBand="1"/>
      </w:tblPr>
      <w:tblGrid>
        <w:gridCol w:w="2335"/>
        <w:gridCol w:w="1865"/>
        <w:gridCol w:w="2400"/>
        <w:gridCol w:w="2760"/>
      </w:tblGrid>
      <w:tr w:rsidR="003C4332" w:rsidRPr="003C4332" w14:paraId="43423BAF" w14:textId="77777777" w:rsidTr="00A75CC6">
        <w:tc>
          <w:tcPr>
            <w:tcW w:w="2335" w:type="dxa"/>
          </w:tcPr>
          <w:p w14:paraId="572B391D" w14:textId="77777777" w:rsidR="0070050B" w:rsidRPr="003C4332" w:rsidRDefault="0070050B" w:rsidP="003C4332">
            <w:pPr>
              <w:spacing w:line="480" w:lineRule="auto"/>
              <w:rPr>
                <w:rFonts w:ascii="Arial" w:hAnsi="Arial" w:cs="Arial"/>
              </w:rPr>
            </w:pPr>
            <w:r w:rsidRPr="003C4332">
              <w:rPr>
                <w:rFonts w:ascii="Arial" w:eastAsia="Times New Roman" w:hAnsi="Arial" w:cs="Arial"/>
                <w:b/>
                <w:bCs/>
              </w:rPr>
              <w:t>Location</w:t>
            </w:r>
          </w:p>
        </w:tc>
        <w:tc>
          <w:tcPr>
            <w:tcW w:w="1865" w:type="dxa"/>
          </w:tcPr>
          <w:p w14:paraId="303AFD41" w14:textId="77777777" w:rsidR="0070050B" w:rsidRPr="003C4332" w:rsidRDefault="0070050B" w:rsidP="003C4332">
            <w:pPr>
              <w:spacing w:line="480" w:lineRule="auto"/>
              <w:rPr>
                <w:rFonts w:ascii="Arial" w:hAnsi="Arial" w:cs="Arial"/>
              </w:rPr>
            </w:pPr>
            <w:r w:rsidRPr="003C4332">
              <w:rPr>
                <w:rFonts w:ascii="Arial" w:eastAsia="Times New Roman" w:hAnsi="Arial" w:cs="Arial"/>
                <w:b/>
                <w:bCs/>
              </w:rPr>
              <w:t>Red (&lt; 4 in.)</w:t>
            </w:r>
          </w:p>
        </w:tc>
        <w:tc>
          <w:tcPr>
            <w:tcW w:w="2400" w:type="dxa"/>
          </w:tcPr>
          <w:p w14:paraId="621279C8" w14:textId="77777777" w:rsidR="0070050B" w:rsidRPr="003C4332" w:rsidRDefault="0070050B" w:rsidP="003C4332">
            <w:pPr>
              <w:spacing w:line="480" w:lineRule="auto"/>
              <w:rPr>
                <w:rFonts w:ascii="Arial" w:hAnsi="Arial" w:cs="Arial"/>
              </w:rPr>
            </w:pPr>
            <w:r w:rsidRPr="003C4332">
              <w:rPr>
                <w:rFonts w:ascii="Arial" w:eastAsia="Times New Roman" w:hAnsi="Arial" w:cs="Arial"/>
                <w:b/>
                <w:bCs/>
              </w:rPr>
              <w:t>Yellow (4–8 in.)</w:t>
            </w:r>
          </w:p>
        </w:tc>
        <w:tc>
          <w:tcPr>
            <w:tcW w:w="2760" w:type="dxa"/>
          </w:tcPr>
          <w:p w14:paraId="79D6DF52" w14:textId="77777777" w:rsidR="0070050B" w:rsidRPr="003C4332" w:rsidRDefault="0070050B" w:rsidP="003C4332">
            <w:pPr>
              <w:spacing w:line="480" w:lineRule="auto"/>
              <w:rPr>
                <w:rFonts w:ascii="Arial" w:hAnsi="Arial" w:cs="Arial"/>
              </w:rPr>
            </w:pPr>
            <w:r w:rsidRPr="003C4332">
              <w:rPr>
                <w:rFonts w:ascii="Arial" w:eastAsia="Times New Roman" w:hAnsi="Arial" w:cs="Arial"/>
                <w:b/>
                <w:bCs/>
              </w:rPr>
              <w:t>Dark Green (&gt; 8 in.)</w:t>
            </w:r>
          </w:p>
        </w:tc>
      </w:tr>
      <w:tr w:rsidR="003C4332" w:rsidRPr="003C4332" w14:paraId="50A844A3" w14:textId="77777777" w:rsidTr="00A75CC6">
        <w:tc>
          <w:tcPr>
            <w:tcW w:w="2335" w:type="dxa"/>
          </w:tcPr>
          <w:p w14:paraId="5EF87BD1" w14:textId="77777777" w:rsidR="0070050B" w:rsidRPr="003C4332" w:rsidRDefault="0070050B" w:rsidP="003C4332">
            <w:pPr>
              <w:spacing w:line="480" w:lineRule="auto"/>
              <w:rPr>
                <w:rFonts w:ascii="Arial" w:hAnsi="Arial" w:cs="Arial"/>
              </w:rPr>
            </w:pPr>
            <w:r w:rsidRPr="003C4332">
              <w:rPr>
                <w:rFonts w:ascii="Arial" w:eastAsia="Times New Roman" w:hAnsi="Arial" w:cs="Arial"/>
              </w:rPr>
              <w:t>Munda</w:t>
            </w:r>
          </w:p>
        </w:tc>
        <w:tc>
          <w:tcPr>
            <w:tcW w:w="1865" w:type="dxa"/>
          </w:tcPr>
          <w:p w14:paraId="7DB2F98F" w14:textId="77777777" w:rsidR="0070050B" w:rsidRPr="003C4332" w:rsidRDefault="0070050B" w:rsidP="003C4332">
            <w:pPr>
              <w:spacing w:line="480" w:lineRule="auto"/>
              <w:rPr>
                <w:rFonts w:ascii="Arial" w:hAnsi="Arial" w:cs="Arial"/>
              </w:rPr>
            </w:pPr>
            <w:r w:rsidRPr="003C4332">
              <w:rPr>
                <w:rFonts w:ascii="Arial" w:eastAsia="Times New Roman" w:hAnsi="Arial" w:cs="Arial"/>
              </w:rPr>
              <w:t>8 (3%)</w:t>
            </w:r>
          </w:p>
        </w:tc>
        <w:tc>
          <w:tcPr>
            <w:tcW w:w="2400" w:type="dxa"/>
          </w:tcPr>
          <w:p w14:paraId="561CCDB9" w14:textId="77777777" w:rsidR="0070050B" w:rsidRPr="003C4332" w:rsidRDefault="0070050B" w:rsidP="003C4332">
            <w:pPr>
              <w:spacing w:line="480" w:lineRule="auto"/>
              <w:rPr>
                <w:rFonts w:ascii="Arial" w:hAnsi="Arial" w:cs="Arial"/>
              </w:rPr>
            </w:pPr>
            <w:r w:rsidRPr="003C4332">
              <w:rPr>
                <w:rFonts w:ascii="Arial" w:eastAsia="Times New Roman" w:hAnsi="Arial" w:cs="Arial"/>
              </w:rPr>
              <w:t>87 (28%)</w:t>
            </w:r>
          </w:p>
        </w:tc>
        <w:tc>
          <w:tcPr>
            <w:tcW w:w="2760" w:type="dxa"/>
          </w:tcPr>
          <w:p w14:paraId="2A0D05E7" w14:textId="77777777" w:rsidR="0070050B" w:rsidRPr="003C4332" w:rsidRDefault="0070050B" w:rsidP="003C4332">
            <w:pPr>
              <w:spacing w:line="480" w:lineRule="auto"/>
              <w:rPr>
                <w:rFonts w:ascii="Arial" w:hAnsi="Arial" w:cs="Arial"/>
              </w:rPr>
            </w:pPr>
            <w:r w:rsidRPr="003C4332">
              <w:rPr>
                <w:rFonts w:ascii="Arial" w:eastAsia="Times New Roman" w:hAnsi="Arial" w:cs="Arial"/>
              </w:rPr>
              <w:t>219 (70%)</w:t>
            </w:r>
          </w:p>
        </w:tc>
      </w:tr>
      <w:tr w:rsidR="003C4332" w:rsidRPr="003C4332" w14:paraId="467968C0" w14:textId="77777777" w:rsidTr="00A75CC6">
        <w:tc>
          <w:tcPr>
            <w:tcW w:w="2335" w:type="dxa"/>
          </w:tcPr>
          <w:p w14:paraId="625DF342" w14:textId="77777777" w:rsidR="0070050B" w:rsidRPr="003C4332" w:rsidRDefault="0070050B" w:rsidP="003C4332">
            <w:pPr>
              <w:spacing w:line="480" w:lineRule="auto"/>
              <w:rPr>
                <w:rFonts w:ascii="Arial" w:hAnsi="Arial" w:cs="Arial"/>
              </w:rPr>
            </w:pPr>
            <w:r w:rsidRPr="003C4332">
              <w:rPr>
                <w:rFonts w:ascii="Arial" w:eastAsia="Times New Roman" w:hAnsi="Arial" w:cs="Arial"/>
              </w:rPr>
              <w:t>Noro</w:t>
            </w:r>
          </w:p>
        </w:tc>
        <w:tc>
          <w:tcPr>
            <w:tcW w:w="1865" w:type="dxa"/>
          </w:tcPr>
          <w:p w14:paraId="494A2735" w14:textId="77777777" w:rsidR="0070050B" w:rsidRPr="003C4332" w:rsidRDefault="0070050B" w:rsidP="003C4332">
            <w:pPr>
              <w:spacing w:line="480" w:lineRule="auto"/>
              <w:rPr>
                <w:rFonts w:ascii="Arial" w:hAnsi="Arial" w:cs="Arial"/>
              </w:rPr>
            </w:pPr>
            <w:r w:rsidRPr="003C4332">
              <w:rPr>
                <w:rFonts w:ascii="Arial" w:eastAsia="Times New Roman" w:hAnsi="Arial" w:cs="Arial"/>
              </w:rPr>
              <w:t>6 (2%)</w:t>
            </w:r>
          </w:p>
        </w:tc>
        <w:tc>
          <w:tcPr>
            <w:tcW w:w="2400" w:type="dxa"/>
          </w:tcPr>
          <w:p w14:paraId="3CCEFC3D" w14:textId="77777777" w:rsidR="0070050B" w:rsidRPr="003C4332" w:rsidRDefault="0070050B" w:rsidP="003C4332">
            <w:pPr>
              <w:spacing w:line="480" w:lineRule="auto"/>
              <w:rPr>
                <w:rFonts w:ascii="Arial" w:hAnsi="Arial" w:cs="Arial"/>
              </w:rPr>
            </w:pPr>
            <w:r w:rsidRPr="003C4332">
              <w:rPr>
                <w:rFonts w:ascii="Arial" w:eastAsia="Times New Roman" w:hAnsi="Arial" w:cs="Arial"/>
              </w:rPr>
              <w:t>75 (24%)</w:t>
            </w:r>
          </w:p>
        </w:tc>
        <w:tc>
          <w:tcPr>
            <w:tcW w:w="2760" w:type="dxa"/>
          </w:tcPr>
          <w:p w14:paraId="6BAF7DC9" w14:textId="77777777" w:rsidR="0070050B" w:rsidRPr="003C4332" w:rsidRDefault="0070050B" w:rsidP="003C4332">
            <w:pPr>
              <w:spacing w:line="480" w:lineRule="auto"/>
              <w:rPr>
                <w:rFonts w:ascii="Arial" w:hAnsi="Arial" w:cs="Arial"/>
              </w:rPr>
            </w:pPr>
            <w:r w:rsidRPr="003C4332">
              <w:rPr>
                <w:rFonts w:ascii="Arial" w:eastAsia="Times New Roman" w:hAnsi="Arial" w:cs="Arial"/>
              </w:rPr>
              <w:t>233 (74%)</w:t>
            </w:r>
          </w:p>
        </w:tc>
      </w:tr>
      <w:tr w:rsidR="003C4332" w:rsidRPr="003C4332" w14:paraId="2A820071" w14:textId="77777777" w:rsidTr="00A75CC6">
        <w:tc>
          <w:tcPr>
            <w:tcW w:w="2335" w:type="dxa"/>
          </w:tcPr>
          <w:p w14:paraId="3AB47AC5" w14:textId="77777777" w:rsidR="0070050B" w:rsidRPr="003C4332" w:rsidRDefault="0070050B" w:rsidP="003C4332">
            <w:pPr>
              <w:spacing w:line="480" w:lineRule="auto"/>
              <w:rPr>
                <w:rFonts w:ascii="Arial" w:hAnsi="Arial" w:cs="Arial"/>
              </w:rPr>
            </w:pPr>
            <w:r w:rsidRPr="003C4332">
              <w:rPr>
                <w:rFonts w:ascii="Arial" w:eastAsia="Times New Roman" w:hAnsi="Arial" w:cs="Arial"/>
              </w:rPr>
              <w:t>Noro–Munda Basin</w:t>
            </w:r>
          </w:p>
        </w:tc>
        <w:tc>
          <w:tcPr>
            <w:tcW w:w="1865" w:type="dxa"/>
          </w:tcPr>
          <w:p w14:paraId="38D6BC6C" w14:textId="77777777" w:rsidR="0070050B" w:rsidRPr="003C4332" w:rsidRDefault="0070050B" w:rsidP="003C4332">
            <w:pPr>
              <w:spacing w:line="480" w:lineRule="auto"/>
              <w:rPr>
                <w:rFonts w:ascii="Arial" w:hAnsi="Arial" w:cs="Arial"/>
              </w:rPr>
            </w:pPr>
            <w:r w:rsidRPr="003C4332">
              <w:rPr>
                <w:rFonts w:ascii="Arial" w:eastAsia="Times New Roman" w:hAnsi="Arial" w:cs="Arial"/>
              </w:rPr>
              <w:t>5 (2%)</w:t>
            </w:r>
          </w:p>
        </w:tc>
        <w:tc>
          <w:tcPr>
            <w:tcW w:w="2400" w:type="dxa"/>
          </w:tcPr>
          <w:p w14:paraId="21074172" w14:textId="77777777" w:rsidR="0070050B" w:rsidRPr="003C4332" w:rsidRDefault="0070050B" w:rsidP="003C4332">
            <w:pPr>
              <w:spacing w:line="480" w:lineRule="auto"/>
              <w:rPr>
                <w:rFonts w:ascii="Arial" w:hAnsi="Arial" w:cs="Arial"/>
              </w:rPr>
            </w:pPr>
            <w:r w:rsidRPr="003C4332">
              <w:rPr>
                <w:rFonts w:ascii="Arial" w:eastAsia="Times New Roman" w:hAnsi="Arial" w:cs="Arial"/>
              </w:rPr>
              <w:t>79 (25%)</w:t>
            </w:r>
          </w:p>
        </w:tc>
        <w:tc>
          <w:tcPr>
            <w:tcW w:w="2760" w:type="dxa"/>
          </w:tcPr>
          <w:p w14:paraId="2E666D75" w14:textId="77777777" w:rsidR="0070050B" w:rsidRPr="003C4332" w:rsidRDefault="0070050B" w:rsidP="003C4332">
            <w:pPr>
              <w:spacing w:line="480" w:lineRule="auto"/>
              <w:rPr>
                <w:rFonts w:ascii="Arial" w:hAnsi="Arial" w:cs="Arial"/>
              </w:rPr>
            </w:pPr>
            <w:r w:rsidRPr="003C4332">
              <w:rPr>
                <w:rFonts w:ascii="Arial" w:eastAsia="Times New Roman" w:hAnsi="Arial" w:cs="Arial"/>
              </w:rPr>
              <w:t>230 (73%)</w:t>
            </w:r>
          </w:p>
        </w:tc>
      </w:tr>
    </w:tbl>
    <w:p w14:paraId="09F0B483" w14:textId="4B4D6B4A" w:rsidR="003B232F" w:rsidRPr="003B232F" w:rsidRDefault="0070050B" w:rsidP="003B232F">
      <w:r>
        <w:br w:type="page"/>
      </w:r>
    </w:p>
    <w:p w14:paraId="75777CBB" w14:textId="1783BCF2" w:rsidR="00BB7EDD" w:rsidRDefault="00BB7EDD" w:rsidP="00BB7EDD">
      <w:pPr>
        <w:pStyle w:val="Head3"/>
      </w:pPr>
      <w:bookmarkStart w:id="130" w:name="_Toc228286040"/>
      <w:r w:rsidRPr="00A456F1">
        <w:lastRenderedPageBreak/>
        <w:t>Automated 7-Day Precipitation Forecasting</w:t>
      </w:r>
      <w:bookmarkEnd w:id="130"/>
    </w:p>
    <w:p w14:paraId="0DFAEBBA" w14:textId="205C56E1" w:rsidR="004E2EF1" w:rsidRPr="00E21ACC" w:rsidRDefault="004E2EF1" w:rsidP="004E2EF1">
      <w:pPr>
        <w:rPr>
          <w:rFonts w:eastAsia="Times New Roman"/>
          <w:b/>
        </w:rPr>
      </w:pPr>
      <w:r>
        <w:rPr>
          <w:rFonts w:eastAsia="Times New Roman" w:cs="Times New Roman"/>
        </w:rPr>
        <w:t xml:space="preserve">This </w:t>
      </w:r>
      <w:r w:rsidRPr="005A3410">
        <w:rPr>
          <w:rFonts w:eastAsia="Times New Roman"/>
          <w:bCs/>
        </w:rPr>
        <w:t xml:space="preserve">section of the </w:t>
      </w:r>
      <w:r w:rsidRPr="005A3410">
        <w:rPr>
          <w:rFonts w:eastAsia="Times New Roman" w:cs="Times New Roman"/>
          <w:bCs/>
        </w:rPr>
        <w:t>report</w:t>
      </w:r>
      <w:r>
        <w:rPr>
          <w:rFonts w:eastAsia="Times New Roman" w:cs="Times New Roman"/>
        </w:rPr>
        <w:t xml:space="preserve"> </w:t>
      </w:r>
      <w:r w:rsidRPr="006E467D">
        <w:rPr>
          <w:rFonts w:eastAsia="Times New Roman"/>
        </w:rPr>
        <w:t xml:space="preserve">documents the 7-day precipitation forecasting system for </w:t>
      </w:r>
      <w:r w:rsidR="005F3548">
        <w:rPr>
          <w:rFonts w:eastAsia="Times New Roman"/>
        </w:rPr>
        <w:t>the three Solomon Islands locations</w:t>
      </w:r>
      <w:r w:rsidRPr="006E467D">
        <w:rPr>
          <w:rFonts w:eastAsia="Times New Roman"/>
        </w:rPr>
        <w:t xml:space="preserve"> and presents the forecast for March 10–16, 2026 as a demonstration of the operational output format and content. Detailed descriptions of the data sources, processing pipeline, and forecasting methodology are provided in Volume 1 of this report series. The present volume focuses on the system design, output products, and an illustrative forecast example.</w:t>
      </w:r>
    </w:p>
    <w:p w14:paraId="6E320321" w14:textId="77777777" w:rsidR="004E2EF1" w:rsidRDefault="004E2EF1" w:rsidP="004E2EF1">
      <w:pPr>
        <w:spacing w:after="0"/>
        <w:rPr>
          <w:rFonts w:ascii="Arial" w:hAnsi="Arial" w:cs="Arial"/>
          <w:b/>
          <w:bCs/>
          <w:i/>
          <w:iCs/>
          <w:sz w:val="22"/>
          <w:szCs w:val="22"/>
        </w:rPr>
      </w:pPr>
      <w:r w:rsidRPr="00756900">
        <w:rPr>
          <w:rFonts w:ascii="Arial" w:hAnsi="Arial" w:cs="Arial"/>
          <w:b/>
          <w:bCs/>
          <w:i/>
          <w:iCs/>
          <w:sz w:val="22"/>
          <w:szCs w:val="22"/>
        </w:rPr>
        <w:t>Forecasting System Overview</w:t>
      </w:r>
    </w:p>
    <w:p w14:paraId="0FAEEA8C" w14:textId="77777777" w:rsidR="004E2EF1" w:rsidRDefault="004E2EF1" w:rsidP="004E2EF1">
      <w:r>
        <w:t xml:space="preserve">The forecasting methodology is described in detail in Volume 1. In brief, the system retrieves daily precipitation forecasts from the NOAA Global Forecast System (GFS) at 0.25° spatial resolution for the 7-day forecast horizon. </w:t>
      </w:r>
      <w:r w:rsidRPr="008E4FCE">
        <w:t>Total accumulated precipitation fields are downloaded from the NOAA NOMADS server in GRIB2 format, and daily totals are computed by summing the four 6-</w:t>
      </w:r>
      <w:proofErr w:type="gramStart"/>
      <w:r w:rsidRPr="008E4FCE">
        <w:t>hourly</w:t>
      </w:r>
      <w:proofErr w:type="gramEnd"/>
      <w:r w:rsidRPr="008E4FCE">
        <w:t xml:space="preserve"> accumulations within each 24-hour period. Zonal statistics are extracted using a polygon shapefile delineating the atoll boundary. The processing pipeline is implemented in R using the terra, sf, </w:t>
      </w:r>
      <w:proofErr w:type="spellStart"/>
      <w:r w:rsidRPr="008E4FCE">
        <w:t>tidyverse</w:t>
      </w:r>
      <w:proofErr w:type="spellEnd"/>
      <w:r w:rsidRPr="008E4FCE">
        <w:t xml:space="preserve">, ggplot2, and </w:t>
      </w:r>
      <w:proofErr w:type="spellStart"/>
      <w:r w:rsidRPr="008E4FCE">
        <w:t>magick</w:t>
      </w:r>
      <w:proofErr w:type="spellEnd"/>
      <w:r w:rsidRPr="008E4FCE">
        <w:t xml:space="preserve"> packages.</w:t>
      </w:r>
    </w:p>
    <w:p w14:paraId="4468C384" w14:textId="2B37244E" w:rsidR="004E2EF1" w:rsidRDefault="004E2EF1" w:rsidP="004E2EF1">
      <w:pPr>
        <w:ind w:firstLine="720"/>
      </w:pPr>
      <w:r>
        <w:t xml:space="preserve">The system generates bar charts, animated GIF maps, and summary CSV tables for each forecast cycle, packaged into a ZIP archive for distribution. </w:t>
      </w:r>
      <w:r w:rsidR="00C35ECD" w:rsidRPr="00C35ECD">
        <w:t>Alert thresholds of 50 millimeters per day and 200 millimeters per 7-day total are applied to flag potential high-precipitation events</w:t>
      </w:r>
      <w:r>
        <w:t xml:space="preserve"> (</w:t>
      </w:r>
      <w:r>
        <w:fldChar w:fldCharType="begin"/>
      </w:r>
      <w:r>
        <w:instrText xml:space="preserve"> REF _Ref227581799 \h </w:instrText>
      </w:r>
      <w:r>
        <w:fldChar w:fldCharType="separate"/>
      </w:r>
      <w:r w:rsidR="00F01508" w:rsidRPr="00B144FB">
        <w:rPr>
          <w:rFonts w:ascii="Arial Narrow" w:hAnsi="Arial Narrow"/>
        </w:rPr>
        <w:t xml:space="preserve">Table </w:t>
      </w:r>
      <w:r w:rsidR="00F01508">
        <w:rPr>
          <w:rFonts w:ascii="Arial Narrow" w:hAnsi="Arial Narrow"/>
          <w:noProof/>
        </w:rPr>
        <w:t>8</w:t>
      </w:r>
      <w:r>
        <w:fldChar w:fldCharType="end"/>
      </w:r>
      <w:r>
        <w:t xml:space="preserve">). Forecast products are compiled into HTML report format and distributed via automated email. </w:t>
      </w:r>
    </w:p>
    <w:p w14:paraId="46525281" w14:textId="77777777" w:rsidR="00C51FA7" w:rsidRDefault="00C51FA7" w:rsidP="004E2EF1">
      <w:pPr>
        <w:ind w:firstLine="720"/>
      </w:pPr>
    </w:p>
    <w:p w14:paraId="022183D0" w14:textId="1C48BF90" w:rsidR="004E2EF1" w:rsidRPr="00B144FB" w:rsidRDefault="004E2EF1" w:rsidP="004E2EF1">
      <w:pPr>
        <w:pStyle w:val="Caption"/>
        <w:keepNext/>
        <w:rPr>
          <w:rFonts w:ascii="Arial Narrow" w:hAnsi="Arial Narrow"/>
          <w:szCs w:val="24"/>
        </w:rPr>
      </w:pPr>
      <w:bookmarkStart w:id="131" w:name="_Ref227581799"/>
      <w:bookmarkStart w:id="132" w:name="_Toc228285980"/>
      <w:r w:rsidRPr="00B144FB">
        <w:rPr>
          <w:rFonts w:ascii="Arial Narrow" w:hAnsi="Arial Narrow"/>
          <w:szCs w:val="24"/>
        </w:rPr>
        <w:lastRenderedPageBreak/>
        <w:t xml:space="preserve">Table </w:t>
      </w:r>
      <w:r w:rsidRPr="00B144FB">
        <w:rPr>
          <w:rFonts w:ascii="Arial Narrow" w:hAnsi="Arial Narrow"/>
          <w:szCs w:val="24"/>
        </w:rPr>
        <w:fldChar w:fldCharType="begin"/>
      </w:r>
      <w:r w:rsidRPr="00B144FB">
        <w:rPr>
          <w:rFonts w:ascii="Arial Narrow" w:hAnsi="Arial Narrow"/>
          <w:szCs w:val="24"/>
        </w:rPr>
        <w:instrText xml:space="preserve"> SEQ Table \* ARABIC </w:instrText>
      </w:r>
      <w:r w:rsidRPr="00B144FB">
        <w:rPr>
          <w:rFonts w:ascii="Arial Narrow" w:hAnsi="Arial Narrow"/>
          <w:szCs w:val="24"/>
        </w:rPr>
        <w:fldChar w:fldCharType="separate"/>
      </w:r>
      <w:r w:rsidR="00C93E55">
        <w:rPr>
          <w:rFonts w:ascii="Arial Narrow" w:hAnsi="Arial Narrow"/>
          <w:noProof/>
          <w:szCs w:val="24"/>
        </w:rPr>
        <w:t>14</w:t>
      </w:r>
      <w:r w:rsidRPr="00B144FB">
        <w:rPr>
          <w:rFonts w:ascii="Arial Narrow" w:hAnsi="Arial Narrow"/>
          <w:szCs w:val="24"/>
        </w:rPr>
        <w:fldChar w:fldCharType="end"/>
      </w:r>
      <w:bookmarkEnd w:id="131"/>
      <w:r w:rsidRPr="00B144FB">
        <w:rPr>
          <w:rFonts w:ascii="Arial Narrow" w:hAnsi="Arial Narrow"/>
          <w:szCs w:val="24"/>
        </w:rPr>
        <w:t>. Alert thresholds applied to GFS precipitation forecasts.</w:t>
      </w:r>
      <w:bookmarkEnd w:id="132"/>
    </w:p>
    <w:tbl>
      <w:tblPr>
        <w:tblStyle w:val="TableGrid"/>
        <w:tblW w:w="9360" w:type="dxa"/>
        <w:tblLook w:val="0000" w:firstRow="0" w:lastRow="0" w:firstColumn="0" w:lastColumn="0" w:noHBand="0" w:noVBand="0"/>
      </w:tblPr>
      <w:tblGrid>
        <w:gridCol w:w="2200"/>
        <w:gridCol w:w="1800"/>
        <w:gridCol w:w="5360"/>
      </w:tblGrid>
      <w:tr w:rsidR="004E2EF1" w:rsidRPr="00B144FB" w14:paraId="2DEFBCF8" w14:textId="77777777" w:rsidTr="00AC18C0">
        <w:tc>
          <w:tcPr>
            <w:tcW w:w="2200" w:type="dxa"/>
          </w:tcPr>
          <w:p w14:paraId="5ACA6268" w14:textId="77777777" w:rsidR="004E2EF1" w:rsidRPr="00B144FB" w:rsidRDefault="004E2EF1" w:rsidP="00AC18C0">
            <w:pPr>
              <w:spacing w:line="480" w:lineRule="auto"/>
              <w:jc w:val="center"/>
              <w:rPr>
                <w:rFonts w:ascii="Arial Narrow" w:hAnsi="Arial Narrow"/>
              </w:rPr>
            </w:pPr>
            <w:r w:rsidRPr="00B144FB">
              <w:rPr>
                <w:rFonts w:ascii="Arial Narrow" w:hAnsi="Arial Narrow"/>
                <w:b/>
                <w:bCs/>
              </w:rPr>
              <w:t>Threshold</w:t>
            </w:r>
          </w:p>
        </w:tc>
        <w:tc>
          <w:tcPr>
            <w:tcW w:w="1800" w:type="dxa"/>
          </w:tcPr>
          <w:p w14:paraId="212E1131" w14:textId="77777777" w:rsidR="004E2EF1" w:rsidRPr="00B144FB" w:rsidRDefault="004E2EF1" w:rsidP="00AC18C0">
            <w:pPr>
              <w:spacing w:line="480" w:lineRule="auto"/>
              <w:jc w:val="center"/>
              <w:rPr>
                <w:rFonts w:ascii="Arial Narrow" w:hAnsi="Arial Narrow"/>
              </w:rPr>
            </w:pPr>
            <w:r w:rsidRPr="00B144FB">
              <w:rPr>
                <w:rFonts w:ascii="Arial Narrow" w:hAnsi="Arial Narrow"/>
                <w:b/>
                <w:bCs/>
              </w:rPr>
              <w:t>Value</w:t>
            </w:r>
          </w:p>
        </w:tc>
        <w:tc>
          <w:tcPr>
            <w:tcW w:w="5360" w:type="dxa"/>
          </w:tcPr>
          <w:p w14:paraId="7F56545F" w14:textId="77777777" w:rsidR="004E2EF1" w:rsidRPr="00B144FB" w:rsidRDefault="004E2EF1" w:rsidP="00AC18C0">
            <w:pPr>
              <w:spacing w:line="480" w:lineRule="auto"/>
              <w:jc w:val="center"/>
              <w:rPr>
                <w:rFonts w:ascii="Arial Narrow" w:hAnsi="Arial Narrow"/>
              </w:rPr>
            </w:pPr>
            <w:r w:rsidRPr="00B144FB">
              <w:rPr>
                <w:rFonts w:ascii="Arial Narrow" w:hAnsi="Arial Narrow"/>
                <w:b/>
                <w:bCs/>
              </w:rPr>
              <w:t>Significance</w:t>
            </w:r>
          </w:p>
        </w:tc>
      </w:tr>
      <w:tr w:rsidR="004E2EF1" w:rsidRPr="00B144FB" w14:paraId="69DC84DA" w14:textId="77777777" w:rsidTr="00AC18C0">
        <w:tc>
          <w:tcPr>
            <w:tcW w:w="2200" w:type="dxa"/>
          </w:tcPr>
          <w:p w14:paraId="613144B1" w14:textId="77777777" w:rsidR="004E2EF1" w:rsidRPr="00B144FB" w:rsidRDefault="004E2EF1" w:rsidP="00AC18C0">
            <w:pPr>
              <w:spacing w:line="480" w:lineRule="auto"/>
              <w:jc w:val="center"/>
              <w:rPr>
                <w:rFonts w:ascii="Arial Narrow" w:hAnsi="Arial Narrow"/>
              </w:rPr>
            </w:pPr>
            <w:r w:rsidRPr="00B144FB">
              <w:rPr>
                <w:rFonts w:ascii="Arial Narrow" w:hAnsi="Arial Narrow"/>
              </w:rPr>
              <w:t>Daily precipitation</w:t>
            </w:r>
          </w:p>
        </w:tc>
        <w:tc>
          <w:tcPr>
            <w:tcW w:w="1800" w:type="dxa"/>
          </w:tcPr>
          <w:p w14:paraId="3A2528E5" w14:textId="77777777" w:rsidR="004E2EF1" w:rsidRPr="00B144FB" w:rsidRDefault="004E2EF1" w:rsidP="00AC18C0">
            <w:pPr>
              <w:spacing w:line="480" w:lineRule="auto"/>
              <w:jc w:val="center"/>
              <w:rPr>
                <w:rFonts w:ascii="Arial Narrow" w:hAnsi="Arial Narrow"/>
              </w:rPr>
            </w:pPr>
            <w:r w:rsidRPr="00B144FB">
              <w:rPr>
                <w:rFonts w:ascii="Arial Narrow" w:hAnsi="Arial Narrow"/>
              </w:rPr>
              <w:t>≥ 50 mm</w:t>
            </w:r>
          </w:p>
        </w:tc>
        <w:tc>
          <w:tcPr>
            <w:tcW w:w="5360" w:type="dxa"/>
          </w:tcPr>
          <w:p w14:paraId="3E9EB6ED" w14:textId="77777777" w:rsidR="004E2EF1" w:rsidRPr="00B144FB" w:rsidRDefault="004E2EF1" w:rsidP="00AC18C0">
            <w:pPr>
              <w:spacing w:line="480" w:lineRule="auto"/>
              <w:jc w:val="center"/>
              <w:rPr>
                <w:rFonts w:ascii="Arial Narrow" w:hAnsi="Arial Narrow"/>
              </w:rPr>
            </w:pPr>
            <w:r w:rsidRPr="00B144FB">
              <w:rPr>
                <w:rFonts w:ascii="Arial Narrow" w:hAnsi="Arial Narrow"/>
              </w:rPr>
              <w:t>Potential flood risk; heavy rainfall day</w:t>
            </w:r>
          </w:p>
        </w:tc>
      </w:tr>
      <w:tr w:rsidR="004E2EF1" w:rsidRPr="00B144FB" w14:paraId="4DF72A8C" w14:textId="77777777" w:rsidTr="00AC18C0">
        <w:tc>
          <w:tcPr>
            <w:tcW w:w="2200" w:type="dxa"/>
          </w:tcPr>
          <w:p w14:paraId="4BE18878" w14:textId="77777777" w:rsidR="004E2EF1" w:rsidRPr="00B144FB" w:rsidRDefault="004E2EF1" w:rsidP="00AC18C0">
            <w:pPr>
              <w:spacing w:line="480" w:lineRule="auto"/>
              <w:jc w:val="center"/>
              <w:rPr>
                <w:rFonts w:ascii="Arial Narrow" w:hAnsi="Arial Narrow"/>
              </w:rPr>
            </w:pPr>
            <w:r w:rsidRPr="00B144FB">
              <w:rPr>
                <w:rFonts w:ascii="Arial Narrow" w:hAnsi="Arial Narrow"/>
              </w:rPr>
              <w:t>7-day total</w:t>
            </w:r>
          </w:p>
        </w:tc>
        <w:tc>
          <w:tcPr>
            <w:tcW w:w="1800" w:type="dxa"/>
          </w:tcPr>
          <w:p w14:paraId="263D454D" w14:textId="77777777" w:rsidR="004E2EF1" w:rsidRPr="00B144FB" w:rsidRDefault="004E2EF1" w:rsidP="00AC18C0">
            <w:pPr>
              <w:spacing w:line="480" w:lineRule="auto"/>
              <w:jc w:val="center"/>
              <w:rPr>
                <w:rFonts w:ascii="Arial Narrow" w:hAnsi="Arial Narrow"/>
              </w:rPr>
            </w:pPr>
            <w:r w:rsidRPr="00B144FB">
              <w:rPr>
                <w:rFonts w:ascii="Arial Narrow" w:hAnsi="Arial Narrow"/>
              </w:rPr>
              <w:t>≥ 200 mm</w:t>
            </w:r>
          </w:p>
        </w:tc>
        <w:tc>
          <w:tcPr>
            <w:tcW w:w="5360" w:type="dxa"/>
          </w:tcPr>
          <w:p w14:paraId="17986F6B" w14:textId="77777777" w:rsidR="004E2EF1" w:rsidRPr="00B144FB" w:rsidRDefault="004E2EF1" w:rsidP="00AC18C0">
            <w:pPr>
              <w:spacing w:line="480" w:lineRule="auto"/>
              <w:jc w:val="center"/>
              <w:rPr>
                <w:rFonts w:ascii="Arial Narrow" w:hAnsi="Arial Narrow"/>
              </w:rPr>
            </w:pPr>
            <w:r w:rsidRPr="00B144FB">
              <w:rPr>
                <w:rFonts w:ascii="Arial Narrow" w:hAnsi="Arial Narrow"/>
              </w:rPr>
              <w:t>Sustained heavy precipitation over forecast period</w:t>
            </w:r>
          </w:p>
        </w:tc>
      </w:tr>
    </w:tbl>
    <w:p w14:paraId="1E280C10" w14:textId="77777777" w:rsidR="004E2EF1" w:rsidRDefault="004E2EF1" w:rsidP="004E2EF1"/>
    <w:p w14:paraId="01637511" w14:textId="77777777" w:rsidR="004E2EF1" w:rsidRDefault="004E2EF1" w:rsidP="004E2EF1">
      <w:pPr>
        <w:spacing w:after="0"/>
        <w:rPr>
          <w:rFonts w:ascii="Arial" w:hAnsi="Arial" w:cs="Arial"/>
          <w:b/>
          <w:bCs/>
          <w:i/>
          <w:iCs/>
          <w:sz w:val="22"/>
          <w:szCs w:val="22"/>
        </w:rPr>
      </w:pPr>
      <w:r w:rsidRPr="00D9605A">
        <w:rPr>
          <w:rFonts w:ascii="Arial" w:hAnsi="Arial" w:cs="Arial"/>
          <w:b/>
          <w:bCs/>
          <w:i/>
          <w:iCs/>
          <w:sz w:val="22"/>
          <w:szCs w:val="22"/>
        </w:rPr>
        <w:t>Demonstration Forecast: March 10–16, 2026</w:t>
      </w:r>
    </w:p>
    <w:p w14:paraId="485A8FE2" w14:textId="77777777" w:rsidR="00B103C9" w:rsidRDefault="00B103C9" w:rsidP="00B103C9">
      <w:pPr>
        <w:rPr>
          <w:rFonts w:eastAsia="Times New Roman" w:cs="Times New Roman"/>
        </w:rPr>
      </w:pPr>
      <w:r>
        <w:rPr>
          <w:rFonts w:eastAsia="Times New Roman" w:cs="Times New Roman"/>
        </w:rPr>
        <w:t>The following section presents the GFS precipitation forecast for March 10–16, 2026 (GFS model run 20260310, 12z cycle) for the three Solomon Islands monitoring locations. This forecast period falls within the austral summer wet season, when the Solomon Islands typically receive their highest rainfall.</w:t>
      </w:r>
    </w:p>
    <w:p w14:paraId="3AFD5D74" w14:textId="77777777" w:rsidR="00DA57ED" w:rsidRPr="00BE0460" w:rsidRDefault="00DA57ED" w:rsidP="00DA57ED">
      <w:pPr>
        <w:spacing w:before="240" w:after="0"/>
        <w:rPr>
          <w:rFonts w:ascii="Arial" w:hAnsi="Arial" w:cs="Arial"/>
          <w:i/>
          <w:iCs/>
          <w:sz w:val="22"/>
          <w:szCs w:val="22"/>
        </w:rPr>
      </w:pPr>
      <w:r w:rsidRPr="00BE0460">
        <w:rPr>
          <w:rFonts w:ascii="Arial" w:hAnsi="Arial" w:cs="Arial"/>
          <w:i/>
          <w:iCs/>
          <w:sz w:val="22"/>
          <w:szCs w:val="22"/>
        </w:rPr>
        <w:t>Forecast</w:t>
      </w:r>
      <w:r w:rsidRPr="00BE0460">
        <w:rPr>
          <w:rFonts w:ascii="Arial" w:eastAsia="Times New Roman" w:hAnsi="Arial" w:cs="Arial"/>
          <w:b/>
          <w:bCs/>
          <w:i/>
          <w:iCs/>
          <w:sz w:val="22"/>
          <w:szCs w:val="22"/>
        </w:rPr>
        <w:t xml:space="preserve"> </w:t>
      </w:r>
      <w:r w:rsidRPr="00BE0460">
        <w:rPr>
          <w:rFonts w:ascii="Arial" w:hAnsi="Arial" w:cs="Arial"/>
          <w:i/>
          <w:iCs/>
          <w:sz w:val="22"/>
          <w:szCs w:val="22"/>
        </w:rPr>
        <w:t>Overview</w:t>
      </w:r>
    </w:p>
    <w:p w14:paraId="781B4698" w14:textId="5D5A288B" w:rsidR="00DA3EA9" w:rsidRDefault="00806572" w:rsidP="00DA3EA9">
      <w:pPr>
        <w:rPr>
          <w:rFonts w:cs="Times New Roman"/>
        </w:rPr>
      </w:pPr>
      <w:r w:rsidRPr="00DA3EA9">
        <w:rPr>
          <w:rFonts w:eastAsia="Times New Roman" w:cs="Times New Roman"/>
        </w:rPr>
        <w:fldChar w:fldCharType="begin"/>
      </w:r>
      <w:r w:rsidRPr="00DA3EA9">
        <w:rPr>
          <w:rFonts w:eastAsia="Times New Roman" w:cs="Times New Roman"/>
        </w:rPr>
        <w:instrText xml:space="preserve"> REF _Ref227614494 \h </w:instrText>
      </w:r>
      <w:r w:rsidR="00DA3EA9">
        <w:rPr>
          <w:rFonts w:eastAsia="Times New Roman" w:cs="Times New Roman"/>
        </w:rPr>
        <w:instrText xml:space="preserve"> \* MERGEFORMAT </w:instrText>
      </w:r>
      <w:r w:rsidRPr="00DA3EA9">
        <w:rPr>
          <w:rFonts w:eastAsia="Times New Roman" w:cs="Times New Roman"/>
        </w:rPr>
      </w:r>
      <w:r w:rsidRPr="00DA3EA9">
        <w:rPr>
          <w:rFonts w:eastAsia="Times New Roman" w:cs="Times New Roman"/>
        </w:rPr>
        <w:fldChar w:fldCharType="separate"/>
      </w:r>
      <w:r w:rsidRPr="00DA3EA9">
        <w:rPr>
          <w:rFonts w:cs="Times New Roman"/>
        </w:rPr>
        <w:t xml:space="preserve">Table </w:t>
      </w:r>
      <w:r w:rsidRPr="00DA3EA9">
        <w:rPr>
          <w:rFonts w:cs="Times New Roman"/>
          <w:noProof/>
        </w:rPr>
        <w:t>9</w:t>
      </w:r>
      <w:r w:rsidRPr="00DA3EA9">
        <w:rPr>
          <w:rFonts w:eastAsia="Times New Roman" w:cs="Times New Roman"/>
        </w:rPr>
        <w:fldChar w:fldCharType="end"/>
      </w:r>
      <w:r w:rsidR="0011411C" w:rsidRPr="00DA3EA9">
        <w:rPr>
          <w:rFonts w:eastAsia="Times New Roman" w:cs="Times New Roman"/>
        </w:rPr>
        <w:t xml:space="preserve"> presents the daily forecast precipitation for the three Solomon Islands locations. All three sites produced identical daily values and an identical 7-day total of 50.7 </w:t>
      </w:r>
      <w:r w:rsidRPr="00DA3EA9">
        <w:rPr>
          <w:rFonts w:eastAsia="Times New Roman" w:cs="Times New Roman"/>
        </w:rPr>
        <w:t>mm</w:t>
      </w:r>
      <w:r w:rsidR="0011411C" w:rsidRPr="00DA3EA9">
        <w:rPr>
          <w:rFonts w:eastAsia="Times New Roman" w:cs="Times New Roman"/>
        </w:rPr>
        <w:t>. This result is expected and reflects a characteristic of the GFS 0.25° resolution: because Munda, Noro, and the Noro–Munda Basin are all within approximately 15 kilometers of each other, they fall within the same GFS grid cell or set of overlapping grid cells, and the zonal extraction yields the same area-average forecast for each. The identical values should not be interpreted as indicating identical conditions at each site</w:t>
      </w:r>
      <w:r w:rsidR="00914FBD">
        <w:rPr>
          <w:rFonts w:eastAsia="Times New Roman" w:cs="Times New Roman"/>
        </w:rPr>
        <w:t xml:space="preserve"> because </w:t>
      </w:r>
      <w:r w:rsidR="0011411C" w:rsidRPr="00DA3EA9">
        <w:rPr>
          <w:rFonts w:eastAsia="Times New Roman" w:cs="Times New Roman"/>
        </w:rPr>
        <w:t>local topographic, coastal, and orographic effects that are not resolved at the GFS grid scale may produce meaningful differences in actual rainfall at the three locations.</w:t>
      </w:r>
    </w:p>
    <w:p w14:paraId="19BA7147" w14:textId="42D17250" w:rsidR="0011411C" w:rsidRPr="00DA3EA9" w:rsidRDefault="0011411C" w:rsidP="00DA3EA9">
      <w:pPr>
        <w:ind w:firstLine="720"/>
        <w:rPr>
          <w:rFonts w:cs="Times New Roman"/>
        </w:rPr>
      </w:pPr>
      <w:r w:rsidRPr="00DA3EA9">
        <w:rPr>
          <w:rFonts w:eastAsia="Times New Roman" w:cs="Times New Roman"/>
        </w:rPr>
        <w:t xml:space="preserve">The forecast shows a front-loaded pattern, with the highest daily total of 23.1 </w:t>
      </w:r>
      <w:r w:rsidR="00806572" w:rsidRPr="00DA3EA9">
        <w:rPr>
          <w:rFonts w:eastAsia="Times New Roman" w:cs="Times New Roman"/>
        </w:rPr>
        <w:t>mm</w:t>
      </w:r>
      <w:r w:rsidRPr="00DA3EA9">
        <w:rPr>
          <w:rFonts w:eastAsia="Times New Roman" w:cs="Times New Roman"/>
        </w:rPr>
        <w:t xml:space="preserve"> on the first day (Tuesday, March 10) followed by a steady decline </w:t>
      </w:r>
      <w:proofErr w:type="gramStart"/>
      <w:r w:rsidRPr="00DA3EA9">
        <w:rPr>
          <w:rFonts w:eastAsia="Times New Roman" w:cs="Times New Roman"/>
        </w:rPr>
        <w:t>through</w:t>
      </w:r>
      <w:proofErr w:type="gramEnd"/>
      <w:r w:rsidRPr="00DA3EA9">
        <w:rPr>
          <w:rFonts w:eastAsia="Times New Roman" w:cs="Times New Roman"/>
        </w:rPr>
        <w:t xml:space="preserve"> the remainder of the period </w:t>
      </w:r>
      <w:r w:rsidRPr="00DA3EA9">
        <w:rPr>
          <w:rFonts w:eastAsia="Times New Roman" w:cs="Times New Roman"/>
        </w:rPr>
        <w:lastRenderedPageBreak/>
        <w:t xml:space="preserve">to a minimum of 1.6 </w:t>
      </w:r>
      <w:r w:rsidR="00806572" w:rsidRPr="00DA3EA9">
        <w:rPr>
          <w:rFonts w:eastAsia="Times New Roman" w:cs="Times New Roman"/>
        </w:rPr>
        <w:t>mm</w:t>
      </w:r>
      <w:r w:rsidRPr="00DA3EA9">
        <w:rPr>
          <w:rFonts w:eastAsia="Times New Roman" w:cs="Times New Roman"/>
        </w:rPr>
        <w:t xml:space="preserve"> on Sunday, March 15. No daily values exceeded the 50-</w:t>
      </w:r>
      <w:r w:rsidR="00806572" w:rsidRPr="00DA3EA9">
        <w:rPr>
          <w:rFonts w:eastAsia="Times New Roman" w:cs="Times New Roman"/>
        </w:rPr>
        <w:t>mm</w:t>
      </w:r>
      <w:r w:rsidRPr="00DA3EA9">
        <w:rPr>
          <w:rFonts w:eastAsia="Times New Roman" w:cs="Times New Roman"/>
        </w:rPr>
        <w:t xml:space="preserve"> alert threshold, and the 7-day total of 50.7 </w:t>
      </w:r>
      <w:r w:rsidR="00806572" w:rsidRPr="00DA3EA9">
        <w:rPr>
          <w:rFonts w:eastAsia="Times New Roman" w:cs="Times New Roman"/>
        </w:rPr>
        <w:t>mm</w:t>
      </w:r>
      <w:r w:rsidRPr="00DA3EA9">
        <w:rPr>
          <w:rFonts w:eastAsia="Times New Roman" w:cs="Times New Roman"/>
        </w:rPr>
        <w:t xml:space="preserve"> is well below the 200-</w:t>
      </w:r>
      <w:r w:rsidR="00806572" w:rsidRPr="00DA3EA9">
        <w:rPr>
          <w:rFonts w:eastAsia="Times New Roman" w:cs="Times New Roman"/>
        </w:rPr>
        <w:t>mm</w:t>
      </w:r>
      <w:r w:rsidRPr="00DA3EA9">
        <w:rPr>
          <w:rFonts w:eastAsia="Times New Roman" w:cs="Times New Roman"/>
        </w:rPr>
        <w:t xml:space="preserve"> weekly threshold.</w:t>
      </w:r>
    </w:p>
    <w:p w14:paraId="003A8031" w14:textId="2055A9C0" w:rsidR="00806572" w:rsidRPr="00806572" w:rsidRDefault="00806572" w:rsidP="00806572">
      <w:pPr>
        <w:pStyle w:val="Caption"/>
        <w:keepNext/>
        <w:rPr>
          <w:rFonts w:ascii="Arial Narrow" w:hAnsi="Arial Narrow"/>
          <w:szCs w:val="24"/>
        </w:rPr>
      </w:pPr>
      <w:bookmarkStart w:id="133" w:name="_Ref227614494"/>
      <w:bookmarkStart w:id="134" w:name="_Toc228285981"/>
      <w:r w:rsidRPr="00806572">
        <w:rPr>
          <w:rFonts w:ascii="Arial Narrow" w:hAnsi="Arial Narrow"/>
          <w:szCs w:val="24"/>
        </w:rPr>
        <w:t xml:space="preserve">Table </w:t>
      </w:r>
      <w:r w:rsidRPr="00806572">
        <w:rPr>
          <w:rFonts w:ascii="Arial Narrow" w:hAnsi="Arial Narrow"/>
          <w:szCs w:val="24"/>
        </w:rPr>
        <w:fldChar w:fldCharType="begin"/>
      </w:r>
      <w:r w:rsidRPr="00806572">
        <w:rPr>
          <w:rFonts w:ascii="Arial Narrow" w:hAnsi="Arial Narrow"/>
          <w:szCs w:val="24"/>
        </w:rPr>
        <w:instrText xml:space="preserve"> SEQ Table \* ARABIC </w:instrText>
      </w:r>
      <w:r w:rsidRPr="00806572">
        <w:rPr>
          <w:rFonts w:ascii="Arial Narrow" w:hAnsi="Arial Narrow"/>
          <w:szCs w:val="24"/>
        </w:rPr>
        <w:fldChar w:fldCharType="separate"/>
      </w:r>
      <w:r w:rsidR="00C93E55">
        <w:rPr>
          <w:rFonts w:ascii="Arial Narrow" w:hAnsi="Arial Narrow"/>
          <w:noProof/>
          <w:szCs w:val="24"/>
        </w:rPr>
        <w:t>15</w:t>
      </w:r>
      <w:r w:rsidRPr="00806572">
        <w:rPr>
          <w:rFonts w:ascii="Arial Narrow" w:hAnsi="Arial Narrow"/>
          <w:szCs w:val="24"/>
        </w:rPr>
        <w:fldChar w:fldCharType="end"/>
      </w:r>
      <w:bookmarkEnd w:id="133"/>
      <w:r w:rsidRPr="00806572">
        <w:rPr>
          <w:rFonts w:ascii="Arial Narrow" w:hAnsi="Arial Narrow"/>
          <w:szCs w:val="24"/>
        </w:rPr>
        <w:t xml:space="preserve">. GFS 7-day precipitation forecast (millimeters) for Solomon Islands monitoring locations, March 10–16, 2026. GFS model </w:t>
      </w:r>
      <w:proofErr w:type="gramStart"/>
      <w:r w:rsidRPr="00806572">
        <w:rPr>
          <w:rFonts w:ascii="Arial Narrow" w:hAnsi="Arial Narrow"/>
          <w:szCs w:val="24"/>
        </w:rPr>
        <w:t>run</w:t>
      </w:r>
      <w:proofErr w:type="gramEnd"/>
      <w:r w:rsidRPr="00806572">
        <w:rPr>
          <w:rFonts w:ascii="Arial Narrow" w:hAnsi="Arial Narrow"/>
          <w:szCs w:val="24"/>
        </w:rPr>
        <w:t xml:space="preserve"> 20260310, 12z cycle. All three sites produced identical values due to their proximity within the GFS 0.25° grid.</w:t>
      </w:r>
      <w:bookmarkEnd w:id="134"/>
    </w:p>
    <w:tbl>
      <w:tblPr>
        <w:tblStyle w:val="TableGrid"/>
        <w:tblW w:w="9360" w:type="dxa"/>
        <w:tblLook w:val="0000" w:firstRow="0" w:lastRow="0" w:firstColumn="0" w:lastColumn="0" w:noHBand="0" w:noVBand="0"/>
      </w:tblPr>
      <w:tblGrid>
        <w:gridCol w:w="1800"/>
        <w:gridCol w:w="900"/>
        <w:gridCol w:w="900"/>
        <w:gridCol w:w="900"/>
        <w:gridCol w:w="900"/>
        <w:gridCol w:w="900"/>
        <w:gridCol w:w="900"/>
        <w:gridCol w:w="900"/>
        <w:gridCol w:w="1260"/>
      </w:tblGrid>
      <w:tr w:rsidR="00806572" w:rsidRPr="00806572" w14:paraId="2B40F7B7" w14:textId="77777777" w:rsidTr="00806572">
        <w:tc>
          <w:tcPr>
            <w:tcW w:w="1800" w:type="dxa"/>
          </w:tcPr>
          <w:p w14:paraId="20987581"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Location</w:t>
            </w:r>
          </w:p>
        </w:tc>
        <w:tc>
          <w:tcPr>
            <w:tcW w:w="900" w:type="dxa"/>
          </w:tcPr>
          <w:p w14:paraId="13E09EFF"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Tue 10 Mar</w:t>
            </w:r>
          </w:p>
        </w:tc>
        <w:tc>
          <w:tcPr>
            <w:tcW w:w="900" w:type="dxa"/>
          </w:tcPr>
          <w:p w14:paraId="2B405AE7"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Wed 11 Mar</w:t>
            </w:r>
          </w:p>
        </w:tc>
        <w:tc>
          <w:tcPr>
            <w:tcW w:w="900" w:type="dxa"/>
          </w:tcPr>
          <w:p w14:paraId="5EEC2795"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Thu 12 Mar</w:t>
            </w:r>
          </w:p>
        </w:tc>
        <w:tc>
          <w:tcPr>
            <w:tcW w:w="900" w:type="dxa"/>
          </w:tcPr>
          <w:p w14:paraId="24B76CE7"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Fri 13 Mar</w:t>
            </w:r>
          </w:p>
        </w:tc>
        <w:tc>
          <w:tcPr>
            <w:tcW w:w="900" w:type="dxa"/>
          </w:tcPr>
          <w:p w14:paraId="2BD9915E"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Sat 14 Mar</w:t>
            </w:r>
          </w:p>
        </w:tc>
        <w:tc>
          <w:tcPr>
            <w:tcW w:w="900" w:type="dxa"/>
          </w:tcPr>
          <w:p w14:paraId="54AA8682"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Sun 15 Mar</w:t>
            </w:r>
          </w:p>
        </w:tc>
        <w:tc>
          <w:tcPr>
            <w:tcW w:w="900" w:type="dxa"/>
          </w:tcPr>
          <w:p w14:paraId="2CF70E62"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Mon 16 Mar</w:t>
            </w:r>
          </w:p>
        </w:tc>
        <w:tc>
          <w:tcPr>
            <w:tcW w:w="1260" w:type="dxa"/>
          </w:tcPr>
          <w:p w14:paraId="1CEF8152"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b/>
                <w:bCs/>
              </w:rPr>
              <w:t>7-Day Total</w:t>
            </w:r>
          </w:p>
        </w:tc>
      </w:tr>
      <w:tr w:rsidR="00806572" w:rsidRPr="00806572" w14:paraId="392BB72B" w14:textId="77777777" w:rsidTr="00806572">
        <w:tc>
          <w:tcPr>
            <w:tcW w:w="1800" w:type="dxa"/>
          </w:tcPr>
          <w:p w14:paraId="766BE18C"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Munda</w:t>
            </w:r>
          </w:p>
        </w:tc>
        <w:tc>
          <w:tcPr>
            <w:tcW w:w="900" w:type="dxa"/>
          </w:tcPr>
          <w:p w14:paraId="23B8AF4C"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23.1</w:t>
            </w:r>
          </w:p>
        </w:tc>
        <w:tc>
          <w:tcPr>
            <w:tcW w:w="900" w:type="dxa"/>
          </w:tcPr>
          <w:p w14:paraId="7F29BEC3"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7.9</w:t>
            </w:r>
          </w:p>
        </w:tc>
        <w:tc>
          <w:tcPr>
            <w:tcW w:w="900" w:type="dxa"/>
          </w:tcPr>
          <w:p w14:paraId="7F883BF7"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5.9</w:t>
            </w:r>
          </w:p>
        </w:tc>
        <w:tc>
          <w:tcPr>
            <w:tcW w:w="900" w:type="dxa"/>
          </w:tcPr>
          <w:p w14:paraId="2871801F"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6.2</w:t>
            </w:r>
          </w:p>
        </w:tc>
        <w:tc>
          <w:tcPr>
            <w:tcW w:w="900" w:type="dxa"/>
          </w:tcPr>
          <w:p w14:paraId="254CF5D0"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3.4</w:t>
            </w:r>
          </w:p>
        </w:tc>
        <w:tc>
          <w:tcPr>
            <w:tcW w:w="900" w:type="dxa"/>
          </w:tcPr>
          <w:p w14:paraId="147EEA28"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1.6</w:t>
            </w:r>
          </w:p>
        </w:tc>
        <w:tc>
          <w:tcPr>
            <w:tcW w:w="900" w:type="dxa"/>
          </w:tcPr>
          <w:p w14:paraId="63E9BFD8"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2.6</w:t>
            </w:r>
          </w:p>
        </w:tc>
        <w:tc>
          <w:tcPr>
            <w:tcW w:w="1260" w:type="dxa"/>
          </w:tcPr>
          <w:p w14:paraId="1971ADF8"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50.7</w:t>
            </w:r>
          </w:p>
        </w:tc>
      </w:tr>
      <w:tr w:rsidR="00806572" w:rsidRPr="00806572" w14:paraId="5341ADEB" w14:textId="77777777" w:rsidTr="00806572">
        <w:tc>
          <w:tcPr>
            <w:tcW w:w="1800" w:type="dxa"/>
          </w:tcPr>
          <w:p w14:paraId="5D1ECFAD"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Noro</w:t>
            </w:r>
          </w:p>
        </w:tc>
        <w:tc>
          <w:tcPr>
            <w:tcW w:w="900" w:type="dxa"/>
          </w:tcPr>
          <w:p w14:paraId="0211FEA3"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23.1</w:t>
            </w:r>
          </w:p>
        </w:tc>
        <w:tc>
          <w:tcPr>
            <w:tcW w:w="900" w:type="dxa"/>
          </w:tcPr>
          <w:p w14:paraId="07625E14"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7.9</w:t>
            </w:r>
          </w:p>
        </w:tc>
        <w:tc>
          <w:tcPr>
            <w:tcW w:w="900" w:type="dxa"/>
          </w:tcPr>
          <w:p w14:paraId="63BFD4D8"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5.9</w:t>
            </w:r>
          </w:p>
        </w:tc>
        <w:tc>
          <w:tcPr>
            <w:tcW w:w="900" w:type="dxa"/>
          </w:tcPr>
          <w:p w14:paraId="5155606A"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6.2</w:t>
            </w:r>
          </w:p>
        </w:tc>
        <w:tc>
          <w:tcPr>
            <w:tcW w:w="900" w:type="dxa"/>
          </w:tcPr>
          <w:p w14:paraId="53609A06"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3.4</w:t>
            </w:r>
          </w:p>
        </w:tc>
        <w:tc>
          <w:tcPr>
            <w:tcW w:w="900" w:type="dxa"/>
          </w:tcPr>
          <w:p w14:paraId="3C01B803"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1.6</w:t>
            </w:r>
          </w:p>
        </w:tc>
        <w:tc>
          <w:tcPr>
            <w:tcW w:w="900" w:type="dxa"/>
          </w:tcPr>
          <w:p w14:paraId="28FD3125"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2.6</w:t>
            </w:r>
          </w:p>
        </w:tc>
        <w:tc>
          <w:tcPr>
            <w:tcW w:w="1260" w:type="dxa"/>
          </w:tcPr>
          <w:p w14:paraId="14531B0E"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50.7</w:t>
            </w:r>
          </w:p>
        </w:tc>
      </w:tr>
      <w:tr w:rsidR="00806572" w:rsidRPr="00806572" w14:paraId="0920614C" w14:textId="77777777" w:rsidTr="00806572">
        <w:tc>
          <w:tcPr>
            <w:tcW w:w="1800" w:type="dxa"/>
          </w:tcPr>
          <w:p w14:paraId="19B9F54D"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Noro–Munda Basin</w:t>
            </w:r>
          </w:p>
        </w:tc>
        <w:tc>
          <w:tcPr>
            <w:tcW w:w="900" w:type="dxa"/>
          </w:tcPr>
          <w:p w14:paraId="0E045827"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23.1</w:t>
            </w:r>
          </w:p>
        </w:tc>
        <w:tc>
          <w:tcPr>
            <w:tcW w:w="900" w:type="dxa"/>
          </w:tcPr>
          <w:p w14:paraId="57B68717"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7.9</w:t>
            </w:r>
          </w:p>
        </w:tc>
        <w:tc>
          <w:tcPr>
            <w:tcW w:w="900" w:type="dxa"/>
          </w:tcPr>
          <w:p w14:paraId="10695CAB"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5.9</w:t>
            </w:r>
          </w:p>
        </w:tc>
        <w:tc>
          <w:tcPr>
            <w:tcW w:w="900" w:type="dxa"/>
          </w:tcPr>
          <w:p w14:paraId="3514C165"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6.2</w:t>
            </w:r>
          </w:p>
        </w:tc>
        <w:tc>
          <w:tcPr>
            <w:tcW w:w="900" w:type="dxa"/>
          </w:tcPr>
          <w:p w14:paraId="784C1F26"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3.4</w:t>
            </w:r>
          </w:p>
        </w:tc>
        <w:tc>
          <w:tcPr>
            <w:tcW w:w="900" w:type="dxa"/>
          </w:tcPr>
          <w:p w14:paraId="1B53DE62"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1.6</w:t>
            </w:r>
          </w:p>
        </w:tc>
        <w:tc>
          <w:tcPr>
            <w:tcW w:w="900" w:type="dxa"/>
          </w:tcPr>
          <w:p w14:paraId="7B870687"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2.6</w:t>
            </w:r>
          </w:p>
        </w:tc>
        <w:tc>
          <w:tcPr>
            <w:tcW w:w="1260" w:type="dxa"/>
          </w:tcPr>
          <w:p w14:paraId="06125A57" w14:textId="77777777" w:rsidR="0011411C" w:rsidRPr="00806572" w:rsidRDefault="0011411C" w:rsidP="00DA3EA9">
            <w:pPr>
              <w:spacing w:line="480" w:lineRule="auto"/>
              <w:jc w:val="center"/>
              <w:rPr>
                <w:rFonts w:ascii="Arial Narrow" w:hAnsi="Arial Narrow"/>
              </w:rPr>
            </w:pPr>
            <w:r w:rsidRPr="00806572">
              <w:rPr>
                <w:rFonts w:ascii="Arial Narrow" w:eastAsia="Times New Roman" w:hAnsi="Arial Narrow" w:cs="Times New Roman"/>
              </w:rPr>
              <w:t>50.7</w:t>
            </w:r>
          </w:p>
        </w:tc>
      </w:tr>
    </w:tbl>
    <w:p w14:paraId="3251E233" w14:textId="77777777" w:rsidR="00806572" w:rsidRDefault="00806572" w:rsidP="0011411C">
      <w:pPr>
        <w:spacing w:line="276" w:lineRule="auto"/>
        <w:jc w:val="both"/>
        <w:rPr>
          <w:rFonts w:eastAsia="Times New Roman" w:cs="Times New Roman"/>
          <w:b/>
          <w:bCs/>
          <w:sz w:val="20"/>
          <w:szCs w:val="20"/>
        </w:rPr>
      </w:pPr>
    </w:p>
    <w:p w14:paraId="355DF084" w14:textId="4CFC20F1" w:rsidR="00743439" w:rsidRPr="00743439" w:rsidRDefault="00743439" w:rsidP="00743439">
      <w:pPr>
        <w:spacing w:after="0"/>
        <w:rPr>
          <w:rFonts w:ascii="Arial" w:hAnsi="Arial" w:cs="Arial"/>
          <w:i/>
          <w:iCs/>
          <w:sz w:val="22"/>
          <w:szCs w:val="22"/>
        </w:rPr>
      </w:pPr>
      <w:r w:rsidRPr="00D47DAD">
        <w:rPr>
          <w:rFonts w:ascii="Arial" w:hAnsi="Arial" w:cs="Arial"/>
          <w:i/>
          <w:iCs/>
          <w:sz w:val="22"/>
          <w:szCs w:val="22"/>
        </w:rPr>
        <w:t>Forecast Visualization</w:t>
      </w:r>
    </w:p>
    <w:p w14:paraId="795D297A" w14:textId="28ABE54D" w:rsidR="0011411C" w:rsidRDefault="003D5338" w:rsidP="00DA3EA9">
      <w:pPr>
        <w:ind w:firstLine="720"/>
      </w:pPr>
      <w:r>
        <w:rPr>
          <w:rFonts w:eastAsia="Times New Roman" w:cs="Times New Roman"/>
        </w:rPr>
        <w:fldChar w:fldCharType="begin"/>
      </w:r>
      <w:r>
        <w:rPr>
          <w:rFonts w:eastAsia="Times New Roman" w:cs="Times New Roman"/>
        </w:rPr>
        <w:instrText xml:space="preserve"> REF _Ref227615119 \h </w:instrText>
      </w:r>
      <w:r>
        <w:rPr>
          <w:rFonts w:eastAsia="Times New Roman" w:cs="Times New Roman"/>
        </w:rPr>
      </w:r>
      <w:r>
        <w:rPr>
          <w:rFonts w:eastAsia="Times New Roman" w:cs="Times New Roman"/>
        </w:rPr>
        <w:fldChar w:fldCharType="separate"/>
      </w:r>
      <w:r w:rsidRPr="00DA3EA9">
        <w:rPr>
          <w:rFonts w:ascii="Arial Narrow" w:hAnsi="Arial Narrow"/>
        </w:rPr>
        <w:t xml:space="preserve">Figure </w:t>
      </w:r>
      <w:r>
        <w:rPr>
          <w:rFonts w:ascii="Arial Narrow" w:hAnsi="Arial Narrow"/>
          <w:noProof/>
        </w:rPr>
        <w:t>28</w:t>
      </w:r>
      <w:r>
        <w:rPr>
          <w:rFonts w:eastAsia="Times New Roman" w:cs="Times New Roman"/>
        </w:rPr>
        <w:fldChar w:fldCharType="end"/>
      </w:r>
      <w:r w:rsidR="0011411C">
        <w:rPr>
          <w:rFonts w:eastAsia="Times New Roman" w:cs="Times New Roman"/>
        </w:rPr>
        <w:t xml:space="preserve"> presents the combined bar chart for the three Solomon Islands locations. </w:t>
      </w:r>
      <w:r w:rsidR="004C0AA5">
        <w:rPr>
          <w:rFonts w:eastAsia="Times New Roman" w:cs="Times New Roman"/>
        </w:rPr>
        <w:t>The chart shows the day-by-day distribution of expected rainfall, with the daily alert threshold of 50 mm indicated by the dashed red line and the 7-day total annotated.</w:t>
      </w:r>
      <w:r w:rsidR="00FA11A9">
        <w:rPr>
          <w:rFonts w:eastAsia="Times New Roman" w:cs="Times New Roman"/>
        </w:rPr>
        <w:t xml:space="preserve"> </w:t>
      </w:r>
      <w:r w:rsidR="0011411C">
        <w:rPr>
          <w:rFonts w:eastAsia="Times New Roman" w:cs="Times New Roman"/>
        </w:rPr>
        <w:t>The identical values at all three sites are clearly visible, with bars of equal height for each day.</w:t>
      </w:r>
    </w:p>
    <w:p w14:paraId="4D4898CD" w14:textId="77777777" w:rsidR="00DA3EA9" w:rsidRDefault="0011411C" w:rsidP="00DA3EA9">
      <w:pPr>
        <w:keepNext/>
        <w:spacing w:before="160" w:after="60"/>
        <w:jc w:val="center"/>
      </w:pPr>
      <w:r>
        <w:rPr>
          <w:noProof/>
        </w:rPr>
        <w:lastRenderedPageBreak/>
        <w:drawing>
          <wp:inline distT="0" distB="0" distL="0" distR="0" wp14:anchorId="6DBC20A9" wp14:editId="3D7DD08B">
            <wp:extent cx="5524500" cy="3372592"/>
            <wp:effectExtent l="0" t="0" r="0" b="0"/>
            <wp:docPr id="1999463141" name="Solomon Islands Combined Forecast" descr="Combined bar chart of GFS precipitation forecast for Solomon Islands locations." title="Solomon Islands Combined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srcRect/>
                    <a:stretch>
                      <a:fillRect/>
                    </a:stretch>
                  </pic:blipFill>
                  <pic:spPr bwMode="auto">
                    <a:xfrm>
                      <a:off x="0" y="0"/>
                      <a:ext cx="5530245" cy="3376099"/>
                    </a:xfrm>
                    <a:prstGeom prst="rect">
                      <a:avLst/>
                    </a:prstGeom>
                  </pic:spPr>
                </pic:pic>
              </a:graphicData>
            </a:graphic>
          </wp:inline>
        </w:drawing>
      </w:r>
    </w:p>
    <w:p w14:paraId="097C5BDD" w14:textId="66ABBD6D" w:rsidR="00DA3EA9" w:rsidRPr="00DA3EA9" w:rsidRDefault="00DA3EA9" w:rsidP="00DA3EA9">
      <w:pPr>
        <w:spacing w:after="240"/>
        <w:rPr>
          <w:rFonts w:ascii="Arial Narrow" w:hAnsi="Arial Narrow"/>
        </w:rPr>
      </w:pPr>
      <w:bookmarkStart w:id="135" w:name="_Ref227615119"/>
      <w:bookmarkStart w:id="136" w:name="_Toc227691738"/>
      <w:r w:rsidRPr="00DA3EA9">
        <w:rPr>
          <w:rFonts w:ascii="Arial Narrow" w:hAnsi="Arial Narrow"/>
        </w:rPr>
        <w:t xml:space="preserve">Figure </w:t>
      </w:r>
      <w:r w:rsidRPr="00DA3EA9">
        <w:rPr>
          <w:rFonts w:ascii="Arial Narrow" w:hAnsi="Arial Narrow"/>
        </w:rPr>
        <w:fldChar w:fldCharType="begin"/>
      </w:r>
      <w:r w:rsidRPr="00DA3EA9">
        <w:rPr>
          <w:rFonts w:ascii="Arial Narrow" w:hAnsi="Arial Narrow"/>
        </w:rPr>
        <w:instrText xml:space="preserve"> SEQ Figure \* ARABIC </w:instrText>
      </w:r>
      <w:r w:rsidRPr="00DA3EA9">
        <w:rPr>
          <w:rFonts w:ascii="Arial Narrow" w:hAnsi="Arial Narrow"/>
        </w:rPr>
        <w:fldChar w:fldCharType="separate"/>
      </w:r>
      <w:r w:rsidR="00EB6CD8">
        <w:rPr>
          <w:rFonts w:ascii="Arial Narrow" w:hAnsi="Arial Narrow"/>
          <w:noProof/>
        </w:rPr>
        <w:t>28</w:t>
      </w:r>
      <w:r w:rsidRPr="00DA3EA9">
        <w:rPr>
          <w:rFonts w:ascii="Arial Narrow" w:hAnsi="Arial Narrow"/>
        </w:rPr>
        <w:fldChar w:fldCharType="end"/>
      </w:r>
      <w:bookmarkEnd w:id="135"/>
      <w:r w:rsidRPr="00DA3EA9">
        <w:rPr>
          <w:rFonts w:ascii="Arial Narrow" w:hAnsi="Arial Narrow"/>
        </w:rPr>
        <w:t xml:space="preserve">. Combined 7-day GFS precipitation forecast bar chart for the three Solomon Islands monitoring locations, March 10–16, 2026. </w:t>
      </w:r>
      <w:r w:rsidRPr="00DA3EA9">
        <w:rPr>
          <w:rFonts w:ascii="Arial Narrow" w:eastAsia="Times New Roman" w:hAnsi="Arial Narrow" w:cs="Times New Roman"/>
        </w:rPr>
        <w:t>The dashed red line indicates the 50-millimeter daily alert threshold. All three sites show identical values due to their proximity within the GFS grid.</w:t>
      </w:r>
      <w:bookmarkEnd w:id="136"/>
    </w:p>
    <w:p w14:paraId="410743FF" w14:textId="77777777" w:rsidR="00CF754A" w:rsidRDefault="00872D44" w:rsidP="00CF754A">
      <w:pPr>
        <w:ind w:firstLine="720"/>
      </w:pPr>
      <w:r>
        <w:t xml:space="preserve">The demonstration forecast for March 10–16, 2026 (GFS model run 20260310, 12z cycle) produced a 7-day total of 50.7 </w:t>
      </w:r>
      <w:r w:rsidR="00454C65">
        <w:t>mm</w:t>
      </w:r>
      <w:r>
        <w:t xml:space="preserve"> at all three Solomon Islands monitoring locations — Munda, Noro, and the Noro–Munda Basin (</w:t>
      </w:r>
      <w:r w:rsidR="00454C65">
        <w:fldChar w:fldCharType="begin"/>
      </w:r>
      <w:r w:rsidR="00454C65">
        <w:instrText xml:space="preserve"> REF _Ref227615119 \h </w:instrText>
      </w:r>
      <w:r w:rsidR="00454C65">
        <w:fldChar w:fldCharType="separate"/>
      </w:r>
      <w:r w:rsidR="00454C65" w:rsidRPr="00DA3EA9">
        <w:rPr>
          <w:rFonts w:ascii="Arial Narrow" w:hAnsi="Arial Narrow"/>
        </w:rPr>
        <w:t xml:space="preserve">Figure </w:t>
      </w:r>
      <w:r w:rsidR="00454C65" w:rsidRPr="00DA3EA9">
        <w:rPr>
          <w:rFonts w:ascii="Arial Narrow" w:hAnsi="Arial Narrow"/>
          <w:noProof/>
        </w:rPr>
        <w:t>19</w:t>
      </w:r>
      <w:r w:rsidR="00454C65">
        <w:fldChar w:fldCharType="end"/>
      </w:r>
      <w:r>
        <w:t xml:space="preserve">). Rainfall is concentrated on the first day (23.1 </w:t>
      </w:r>
      <w:r w:rsidR="002821A0">
        <w:t>mm</w:t>
      </w:r>
      <w:r>
        <w:t xml:space="preserve"> on March 10), declining steadily through the week to 1.6 </w:t>
      </w:r>
      <w:r w:rsidR="002821A0">
        <w:t>mm</w:t>
      </w:r>
      <w:r>
        <w:t xml:space="preserve"> on Sunday and 2.6 </w:t>
      </w:r>
      <w:r w:rsidR="002821A0">
        <w:t>mm</w:t>
      </w:r>
      <w:r>
        <w:t xml:space="preserve"> on the final day. No daily values exceeded the 50-</w:t>
      </w:r>
      <w:r w:rsidR="002821A0">
        <w:t>mm</w:t>
      </w:r>
      <w:r>
        <w:t xml:space="preserve"> alert threshold, and the 7-day total is well below the 200-</w:t>
      </w:r>
      <w:r w:rsidR="002821A0">
        <w:t>mm</w:t>
      </w:r>
      <w:r>
        <w:t xml:space="preserve"> weekly threshold. In the context of the wet-season climatology at these sites</w:t>
      </w:r>
      <w:r w:rsidR="006D7252">
        <w:t xml:space="preserve">, where </w:t>
      </w:r>
      <w:r>
        <w:t xml:space="preserve">March median precipitation ranges from approximately 306 </w:t>
      </w:r>
      <w:r w:rsidR="006D7252">
        <w:t>mm</w:t>
      </w:r>
      <w:r>
        <w:t xml:space="preserve"> at Noro to 317 </w:t>
      </w:r>
      <w:r w:rsidR="00814A66">
        <w:t>mm</w:t>
      </w:r>
      <w:r>
        <w:t xml:space="preserve"> at the Noro–Munda Basin</w:t>
      </w:r>
      <w:r w:rsidR="006D7252">
        <w:t>,</w:t>
      </w:r>
      <w:r>
        <w:t xml:space="preserve"> the forecast pace of approximately 225 millimeters over the full month would fall below the median monthly total, representing a modest but not unusual contribution </w:t>
      </w:r>
      <w:r>
        <w:lastRenderedPageBreak/>
        <w:t>given that wet-season rainfall at these locations is often concentrated in episodic convective events rather than distributed uniformly across all days.</w:t>
      </w:r>
    </w:p>
    <w:p w14:paraId="3BE2BAC9" w14:textId="77777777" w:rsidR="00BF3A46" w:rsidRDefault="00872D44" w:rsidP="00BF3A46">
      <w:pPr>
        <w:ind w:firstLine="720"/>
      </w:pPr>
      <w:r>
        <w:t>All three sites produced identical daily forecast values, a result that is expected given their close geographic proximity within the New Georgia group. At GFS 0.25° resolution, each grid cell spans approximately 25 kilometers</w:t>
      </w:r>
      <w:r w:rsidR="00CF754A">
        <w:t xml:space="preserve">, which is </w:t>
      </w:r>
      <w:r>
        <w:t>considerably larger than the approximately 15-kilometer separation between Munda and Noro. The three monitoring polygons therefore overlap with the same set of grid cells, and the zonal extraction yields the same area-average forecast for each location. The basin-scale perspective, while indistinguishable from the point locations in this forecast, remains important for water supply planning because the watershed serving both communities may respond to catchment-scale precipitation dynamics that differ from point rainfall.</w:t>
      </w:r>
    </w:p>
    <w:p w14:paraId="5AD692A2" w14:textId="77777777" w:rsidR="00BF3A46" w:rsidRDefault="00872D44" w:rsidP="00BF3A46">
      <w:pPr>
        <w:ind w:firstLine="720"/>
      </w:pPr>
      <w:r>
        <w:t>The identical values should not be interpreted as indicating identical conditions at the three locations. Local topographic effects, proximity to the coast, and the stochastic nature of tropical convection can produce substantial differences in point rainfall even over short distances. The GFS forecast should therefore be understood as a regional-scale expectation that applies broadly to the Munda–Noro area rather than a site-specific prediction for any individual location. For applications requiring differentiation among these closely spaced sites, higher-resolution forecast products or statistical downscaling would be needed.</w:t>
      </w:r>
    </w:p>
    <w:p w14:paraId="6EA19F4B" w14:textId="77777777" w:rsidR="00710451" w:rsidRDefault="00872D44" w:rsidP="00710451">
      <w:pPr>
        <w:ind w:firstLine="720"/>
      </w:pPr>
      <w:r>
        <w:t>The March 10–16 forecast shows moderate rainfall during what is climatologically the tail end of the austral summer wet season. The companion drought monitoring volume identified the austral spring months (September–November) as the period of greatest drought vulnerability at these locations, and the most recent drought episodes in the monitoring record</w:t>
      </w:r>
      <w:r w:rsidR="008062C0">
        <w:t xml:space="preserve">, </w:t>
      </w:r>
      <w:r>
        <w:t xml:space="preserve">such as the </w:t>
      </w:r>
      <w:r>
        <w:lastRenderedPageBreak/>
        <w:t>July–October 2022 event</w:t>
      </w:r>
      <w:r w:rsidR="008062C0">
        <w:t>,</w:t>
      </w:r>
      <w:r>
        <w:t xml:space="preserve"> occurred during or leading into this dry season. The present wet-season forecast of 50.7 </w:t>
      </w:r>
      <w:r w:rsidR="003A78F1">
        <w:t>mm</w:t>
      </w:r>
      <w:r>
        <w:t xml:space="preserve"> over 7 days does not indicate any immediate drought concern. For water managers, the value of this forecast lies in providing advance notice of the expected daily distribution of rainfall</w:t>
      </w:r>
      <w:r w:rsidR="003A78F1">
        <w:t>.</w:t>
      </w:r>
      <w:r>
        <w:t xml:space="preserve"> </w:t>
      </w:r>
      <w:r w:rsidR="00710451">
        <w:t>T</w:t>
      </w:r>
      <w:r>
        <w:t>he front-loaded pattern, with nearly half of the 7-day total concentrated on the first day and progressively drier conditions toward the end of the week, informs decisions about catchment management as the latter days are expected to contribute minimal recharge.</w:t>
      </w:r>
    </w:p>
    <w:p w14:paraId="0AB60F1E" w14:textId="77777777" w:rsidR="00710451" w:rsidRDefault="00872D44" w:rsidP="00710451">
      <w:pPr>
        <w:ind w:firstLine="720"/>
      </w:pPr>
      <w:r>
        <w:t>The limitations described in the companion FSM forecast volume apply equally here. GFS forecast skill for tropical convective precipitation decreases with lead time, and the day-1 and day-2 forecasts are generally more reliable than the day-6 and day-7 values. The model does not resolve local orographic enhancement, sea-breeze convergence, or other mesoscale effects that influence rainfall distribution across the New Georgia group.</w:t>
      </w:r>
    </w:p>
    <w:p w14:paraId="0170133D" w14:textId="58C90FAA" w:rsidR="00D94260" w:rsidRDefault="00872D44" w:rsidP="00710451">
      <w:pPr>
        <w:ind w:firstLine="720"/>
      </w:pPr>
      <w:r>
        <w:t>Despite these limitations, the GFS forecast provides useful regional-scale guidance that was not previously available for water supply planning at these Solomon Islands locations. When interpreted alongside the companion drought monitoring results, the forecast provides near-term forward-looking information that complements the backward-looking assessment of drought conditions, forming an integrated precipitation intelligence framework for the western Solomon Islands.</w:t>
      </w:r>
    </w:p>
    <w:p w14:paraId="7F37CE6A" w14:textId="77777777" w:rsidR="00710451" w:rsidRPr="00AB771E" w:rsidRDefault="00710451" w:rsidP="00710451">
      <w:pPr>
        <w:ind w:firstLine="720"/>
      </w:pPr>
    </w:p>
    <w:p w14:paraId="4167FD57" w14:textId="1D606E4A" w:rsidR="00F73E8F" w:rsidRDefault="00D94260" w:rsidP="00F8349C">
      <w:pPr>
        <w:pStyle w:val="Head3"/>
      </w:pPr>
      <w:bookmarkStart w:id="137" w:name="_Toc228286041"/>
      <w:r>
        <w:t>Seismicity</w:t>
      </w:r>
      <w:bookmarkEnd w:id="137"/>
    </w:p>
    <w:p w14:paraId="6DA39B93" w14:textId="1B7BA140" w:rsidR="003D5338" w:rsidRPr="00BC5845" w:rsidRDefault="00327479" w:rsidP="00BC5845">
      <w:pPr>
        <w:pStyle w:val="BodyText"/>
      </w:pPr>
      <w:r w:rsidRPr="00BC5845">
        <w:t xml:space="preserve">Island New Georgia lies within one of the most tectonically active regions of the southwest Pacific, where the Australia and Pacific Plates converge along the South Solomon Trench. </w:t>
      </w:r>
      <w:r w:rsidR="3933121C" w:rsidRPr="009F4698">
        <w:t xml:space="preserve">Throughout much of this boundary, the Pacific Plate subducts beneath the Australian </w:t>
      </w:r>
      <w:r w:rsidR="3933121C" w:rsidRPr="009F4698">
        <w:lastRenderedPageBreak/>
        <w:t>Plate; however, in the vicinity of the Solomon Islands, the tectonic configuration becomes more complex. Here, the Pacific Plate overrides the Woodlark subplate of the Australian Plate, creating a highly dynamic environment capable of generating large earthquakes and tsunamis (Geist, USGS).</w:t>
      </w:r>
      <w:r w:rsidR="3933121C" w:rsidRPr="00BC5845">
        <w:t xml:space="preserve"> </w:t>
      </w:r>
      <w:r w:rsidRPr="00BC5845">
        <w:t xml:space="preserve">This boundary accommodates rapid oblique subduction at a rate of approximately 95 millimeters per year toward the east-northeast, producing frequent moderate to large earthquakes and associated tsunami hazards. Seismicity in the New Georgia area is dominated by megathrust and upper-plate faulting events generated along the subduction interface and its associated crustal structures. </w:t>
      </w:r>
    </w:p>
    <w:p w14:paraId="3C921888" w14:textId="3127A866" w:rsidR="003D5338" w:rsidRPr="00BC5845" w:rsidRDefault="00327479" w:rsidP="00BC5845">
      <w:pPr>
        <w:pStyle w:val="BodyText"/>
      </w:pPr>
      <w:r w:rsidRPr="00BC5845">
        <w:t xml:space="preserve">Historical records include multiple major earthquakes exceeding magnitude 7.5, and the region experienced one of the most destructive recent events on April 1, 2007, when an M 8.1 megathrust earthquake ruptured a large segment of the plate boundary southwest of New Georgia. That event produced up to 12 meters of tsunami runup, causing more than 50 fatalities—primarily near Gizo—and widespread coastal uplift documented in exposed corals and raised shorelines. The 2007 earthquake was the third M 8–class rupture along this segment of the trench in the past century, following major events in 1939 and 1977, underscoring the recurrence of large earthquakes along this boundary. </w:t>
      </w:r>
      <w:r w:rsidR="3C58F8D7" w:rsidRPr="009F4698">
        <w:t xml:space="preserve">Animated simulations of the 2007 earthquake and resulting tsunami waves can be seen at: </w:t>
      </w:r>
      <w:hyperlink r:id="rId39" w:history="1">
        <w:r w:rsidR="3C58F8D7" w:rsidRPr="009F4698">
          <w:rPr>
            <w:rStyle w:val="Hyperlink"/>
            <w:color w:val="auto"/>
          </w:rPr>
          <w:t>Preliminary Analysis of the April 2007 Solomon Islands Tsunami, Southwest Pacific Ocean | U.S. Geological Survey</w:t>
        </w:r>
      </w:hyperlink>
      <w:r w:rsidR="3C58F8D7" w:rsidRPr="009F4698">
        <w:t xml:space="preserve"> (E. Geist, USGS, accessed 24 April 2026).</w:t>
      </w:r>
      <w:r w:rsidR="3C58F8D7" w:rsidRPr="00BC5845">
        <w:t xml:space="preserve"> </w:t>
      </w:r>
    </w:p>
    <w:p w14:paraId="066D47C3" w14:textId="5B79D1AC" w:rsidR="003D5338" w:rsidRPr="00BC5845" w:rsidRDefault="3C58F8D7" w:rsidP="00BC5845">
      <w:pPr>
        <w:pStyle w:val="BodyText"/>
      </w:pPr>
      <w:r w:rsidRPr="009F4698">
        <w:t>Seismicity in this region is overwhelmingly controlled by subduction processes, with 13 earthquakes of magnitude 7.5 or greater recorded since 1900—underscoring the exceptionally high seismic hazard.</w:t>
      </w:r>
      <w:r w:rsidRPr="00BC5845">
        <w:t xml:space="preserve"> </w:t>
      </w:r>
      <w:r w:rsidR="00327479" w:rsidRPr="00BC5845">
        <w:t xml:space="preserve">Because communities on New Georgia are located close to the active subduction zone and associated crustal faults, they remain highly exposed to strong ground </w:t>
      </w:r>
      <w:r w:rsidR="00327479" w:rsidRPr="00BC5845">
        <w:lastRenderedPageBreak/>
        <w:t xml:space="preserve">shaking, </w:t>
      </w:r>
      <w:proofErr w:type="spellStart"/>
      <w:r w:rsidR="00327479" w:rsidRPr="00BC5845">
        <w:t>coseismic</w:t>
      </w:r>
      <w:proofErr w:type="spellEnd"/>
      <w:r w:rsidR="00327479" w:rsidRPr="00BC5845">
        <w:t xml:space="preserve"> land-level changes, and near-field tsunami impacts, making seismic monitoring and hazard awareness essential components of regional risk management.</w:t>
      </w:r>
    </w:p>
    <w:p w14:paraId="1C53E78F" w14:textId="77777777" w:rsidR="00BC5845" w:rsidRDefault="00BC5845" w:rsidP="00514EFC">
      <w:pPr>
        <w:pStyle w:val="Head1"/>
      </w:pPr>
    </w:p>
    <w:p w14:paraId="6F983735" w14:textId="156344D2" w:rsidR="00772210" w:rsidRPr="00514EFC" w:rsidRDefault="00772210" w:rsidP="00514EFC">
      <w:pPr>
        <w:pStyle w:val="Head1"/>
      </w:pPr>
      <w:bookmarkStart w:id="138" w:name="_Toc228286042"/>
      <w:r w:rsidRPr="00514EFC">
        <w:t>Discussion</w:t>
      </w:r>
      <w:bookmarkEnd w:id="138"/>
    </w:p>
    <w:p w14:paraId="2F1C9005" w14:textId="34C0D079" w:rsidR="0058605D" w:rsidRPr="0058605D" w:rsidRDefault="0058605D" w:rsidP="0047269A">
      <w:pPr>
        <w:pStyle w:val="BodyText"/>
      </w:pPr>
      <w:r w:rsidRPr="0058605D">
        <w:t>The analyses presented for Guadalcanal (Honiara) and New Georgia (Noro–Munda) illustrate a coherent hydrologic regime in which highly seasonal, often intense precipitation drives short</w:t>
      </w:r>
      <w:r w:rsidRPr="0058605D">
        <w:noBreakHyphen/>
        <w:t>response catchments, while actual evapotranspiration remains comparatively stable and energy</w:t>
      </w:r>
      <w:r w:rsidRPr="0058605D">
        <w:noBreakHyphen/>
        <w:t>limited, yielding annual water surpluses punctuated by recurrent dry</w:t>
      </w:r>
      <w:r w:rsidRPr="0058605D">
        <w:noBreakHyphen/>
        <w:t>season deficits. Satellite IMERG records show strong wet</w:t>
      </w:r>
      <w:r w:rsidRPr="0058605D">
        <w:noBreakHyphen/>
        <w:t>season peaks and dry</w:t>
      </w:r>
      <w:r w:rsidRPr="0058605D">
        <w:noBreakHyphen/>
        <w:t>season minima in both regions, with Honiara’s leeward coastal setting amplifying month</w:t>
      </w:r>
      <w:r w:rsidRPr="0058605D">
        <w:noBreakHyphen/>
        <w:t>to</w:t>
      </w:r>
      <w:r w:rsidRPr="0058605D">
        <w:noBreakHyphen/>
        <w:t>month scarcity relative to the wetter Noro–Munda basin (for example, mean annual precipitation of ~2,450 mm in Honiara versus ~3,270 mm in Noro–Munda) and producing more frequent operational stress during ENSO</w:t>
      </w:r>
      <w:r w:rsidRPr="0058605D">
        <w:noBreakHyphen/>
        <w:t>related droughts.</w:t>
      </w:r>
      <w:r w:rsidR="0047269A">
        <w:t xml:space="preserve"> </w:t>
      </w:r>
      <w:r w:rsidRPr="0058605D">
        <w:t>SSEBop ET totals vary only modestly interannually, reinforcing that precipitation</w:t>
      </w:r>
      <w:r w:rsidR="0047269A">
        <w:t xml:space="preserve"> </w:t>
      </w:r>
      <w:r w:rsidRPr="0058605D">
        <w:t>rather than atmospheric demand</w:t>
      </w:r>
      <w:r w:rsidR="0047269A">
        <w:t xml:space="preserve"> is </w:t>
      </w:r>
      <w:r w:rsidRPr="0058605D">
        <w:t>control</w:t>
      </w:r>
      <w:r w:rsidR="0047269A">
        <w:t>ling</w:t>
      </w:r>
      <w:r w:rsidRPr="0058605D">
        <w:t xml:space="preserve"> net availability; consequently, even moderate rainfall reductions translate quickly into streamflow and spring</w:t>
      </w:r>
      <w:r w:rsidRPr="0058605D">
        <w:noBreakHyphen/>
        <w:t>discharge shortfalls, while wet</w:t>
      </w:r>
      <w:r w:rsidRPr="0058605D">
        <w:noBreakHyphen/>
        <w:t>season pulses elevate turbidity and flood risk in small, steep catchments.</w:t>
      </w:r>
    </w:p>
    <w:p w14:paraId="730617B0" w14:textId="00A3B57C" w:rsidR="0058605D" w:rsidRPr="0058605D" w:rsidRDefault="0058605D" w:rsidP="0058605D">
      <w:pPr>
        <w:pStyle w:val="BodyText"/>
      </w:pPr>
      <w:r w:rsidRPr="0058605D">
        <w:t>Quintile</w:t>
      </w:r>
      <w:r w:rsidRPr="0058605D">
        <w:noBreakHyphen/>
        <w:t xml:space="preserve">based drought monitoring confirms that Solomon Islands droughts are primarily </w:t>
      </w:r>
      <w:r w:rsidRPr="0047269A">
        <w:t>relative deficits against a high</w:t>
      </w:r>
      <w:r w:rsidRPr="0047269A">
        <w:noBreakHyphen/>
        <w:t>rainfall baseline (low PEAC</w:t>
      </w:r>
      <w:r w:rsidRPr="0047269A">
        <w:noBreakHyphen/>
        <w:t>Red frequency), with synchronized</w:t>
      </w:r>
      <w:r w:rsidRPr="0058605D">
        <w:t xml:space="preserve"> multi</w:t>
      </w:r>
      <w:r w:rsidRPr="0058605D">
        <w:noBreakHyphen/>
        <w:t>month episodes across Munda, Noro, and the basin</w:t>
      </w:r>
      <w:r w:rsidR="0047269A">
        <w:t xml:space="preserve">, </w:t>
      </w:r>
      <w:r w:rsidRPr="0058605D">
        <w:t xml:space="preserve">especially in </w:t>
      </w:r>
      <w:r w:rsidR="00BC5845" w:rsidRPr="0058605D">
        <w:t>Austral</w:t>
      </w:r>
      <w:r w:rsidR="00BC5845">
        <w:t>ian</w:t>
      </w:r>
      <w:r w:rsidRPr="0058605D">
        <w:t xml:space="preserve"> spring</w:t>
      </w:r>
      <w:r w:rsidR="0047269A">
        <w:t xml:space="preserve">, </w:t>
      </w:r>
      <w:r w:rsidRPr="0058605D">
        <w:t>highlighting basin</w:t>
      </w:r>
      <w:r w:rsidRPr="0058605D">
        <w:noBreakHyphen/>
        <w:t>scale coherence and the value of regional monitoring polygons at IMERG resolution.</w:t>
      </w:r>
    </w:p>
    <w:p w14:paraId="5A75FF09" w14:textId="45D5CE26" w:rsidR="0058605D" w:rsidRPr="0058605D" w:rsidRDefault="0058605D" w:rsidP="00F34583">
      <w:pPr>
        <w:pStyle w:val="BodyText"/>
      </w:pPr>
      <w:r w:rsidRPr="0058605D">
        <w:lastRenderedPageBreak/>
        <w:t>The 7</w:t>
      </w:r>
      <w:r w:rsidRPr="0058605D">
        <w:noBreakHyphen/>
        <w:t xml:space="preserve">day GFS demonstration underscores the utility and limitations of </w:t>
      </w:r>
      <w:proofErr w:type="gramStart"/>
      <w:r w:rsidRPr="0058605D">
        <w:t>coarse</w:t>
      </w:r>
      <w:proofErr w:type="gramEnd"/>
      <w:r w:rsidRPr="0058605D">
        <w:noBreakHyphen/>
        <w:t>resolution forecasts for closely spaced coastal communities: products reliably signal near</w:t>
      </w:r>
      <w:r w:rsidRPr="0058605D">
        <w:noBreakHyphen/>
        <w:t xml:space="preserve">term rainfall distribution yet cannot resolve local orographic and coastal gradients, </w:t>
      </w:r>
      <w:proofErr w:type="gramStart"/>
      <w:r w:rsidRPr="0058605D">
        <w:t>motivating</w:t>
      </w:r>
      <w:proofErr w:type="gramEnd"/>
      <w:r w:rsidRPr="0058605D">
        <w:t xml:space="preserve"> the use of higher</w:t>
      </w:r>
      <w:r w:rsidRPr="0058605D">
        <w:noBreakHyphen/>
        <w:t>resolution guidance or downscaling for site</w:t>
      </w:r>
      <w:r w:rsidRPr="0058605D">
        <w:noBreakHyphen/>
        <w:t>specific operations.</w:t>
      </w:r>
      <w:r w:rsidR="00F34583">
        <w:t xml:space="preserve"> </w:t>
      </w:r>
      <w:r w:rsidRPr="0058605D">
        <w:t>Informal</w:t>
      </w:r>
      <w:r w:rsidRPr="0058605D">
        <w:noBreakHyphen/>
        <w:t>settlement mapping in western Honiara documents sustained densification (2006–2025) and increasing built</w:t>
      </w:r>
      <w:r w:rsidRPr="0058605D">
        <w:noBreakHyphen/>
        <w:t>up coverage, implying rising demand density and exposure to flood, landslide, and water</w:t>
      </w:r>
      <w:r w:rsidRPr="0058605D">
        <w:noBreakHyphen/>
        <w:t>quality hazards, particularly along alluvial fans and coastal strips with limited natural storage and saline</w:t>
      </w:r>
      <w:r w:rsidRPr="0058605D">
        <w:noBreakHyphen/>
        <w:t>intrusion susceptibility.</w:t>
      </w:r>
    </w:p>
    <w:p w14:paraId="72F27C77" w14:textId="41C26A0B" w:rsidR="0058605D" w:rsidRPr="0058605D" w:rsidRDefault="0058605D" w:rsidP="0058605D">
      <w:pPr>
        <w:pStyle w:val="BodyText"/>
      </w:pPr>
      <w:r w:rsidRPr="0058605D">
        <w:t>Finally, New Georgia’s proximity to the South Solomon Trench and the documented M 8.1 megathrust event of April 1, 2007</w:t>
      </w:r>
      <w:r w:rsidR="00F34583">
        <w:t xml:space="preserve">, </w:t>
      </w:r>
      <w:r w:rsidRPr="0058605D">
        <w:t>one of three M 8</w:t>
      </w:r>
      <w:r w:rsidRPr="0058605D">
        <w:noBreakHyphen/>
        <w:t>class ruptures in the past century</w:t>
      </w:r>
      <w:r w:rsidR="00F34583">
        <w:t xml:space="preserve">, </w:t>
      </w:r>
      <w:r w:rsidRPr="0058605D">
        <w:t xml:space="preserve">underscore compound risk from strong shaking, </w:t>
      </w:r>
      <w:proofErr w:type="spellStart"/>
      <w:r w:rsidRPr="0058605D">
        <w:t>coseismic</w:t>
      </w:r>
      <w:proofErr w:type="spellEnd"/>
      <w:r w:rsidRPr="0058605D">
        <w:t xml:space="preserve"> land</w:t>
      </w:r>
      <w:r w:rsidRPr="0058605D">
        <w:noBreakHyphen/>
        <w:t>level change, and near</w:t>
      </w:r>
      <w:r w:rsidRPr="0058605D">
        <w:noBreakHyphen/>
        <w:t>field tsunamis that can rapidly disrupt water infrastructure and degrade source quality.</w:t>
      </w:r>
    </w:p>
    <w:p w14:paraId="5B9DDF55" w14:textId="77777777" w:rsidR="0058605D" w:rsidRPr="0058605D" w:rsidRDefault="0058605D" w:rsidP="0058605D">
      <w:pPr>
        <w:pStyle w:val="BodyText"/>
      </w:pPr>
      <w:r w:rsidRPr="0058605D">
        <w:t>Taken together, the results support a management posture that (1) integrates satellite precipitation and ET monitoring with drought indices and short</w:t>
      </w:r>
      <w:r w:rsidRPr="0058605D">
        <w:noBreakHyphen/>
        <w:t>term forecasts; (2) builds storage and operational flexibility to bridge seasonal deficits and treat wet</w:t>
      </w:r>
      <w:r w:rsidRPr="0058605D">
        <w:noBreakHyphen/>
        <w:t>season turbidity; (3) protects recharge zones and coastal aquifers against contamination and salinization; (4) targets infrastructure upgrades to densifying neighborhoods; and (5) incorporates earthquake</w:t>
      </w:r>
      <w:r w:rsidRPr="0058605D">
        <w:noBreakHyphen/>
        <w:t>tsunami resilience into siting and design for both intake and distribution systems.</w:t>
      </w:r>
    </w:p>
    <w:p w14:paraId="528DB4B1" w14:textId="38AFB334" w:rsidR="0058605D" w:rsidRPr="0058605D" w:rsidRDefault="0058605D" w:rsidP="00F34583">
      <w:pPr>
        <w:pStyle w:val="BodyText"/>
      </w:pPr>
    </w:p>
    <w:p w14:paraId="3786DCE2" w14:textId="1EB645E8" w:rsidR="00CA402A" w:rsidRPr="00514EFC" w:rsidRDefault="00CA402A" w:rsidP="00514EFC">
      <w:pPr>
        <w:pStyle w:val="Head1"/>
      </w:pPr>
      <w:bookmarkStart w:id="139" w:name="_Toc228286043"/>
      <w:r w:rsidRPr="00514EFC">
        <w:t>Conclusion</w:t>
      </w:r>
      <w:bookmarkEnd w:id="139"/>
    </w:p>
    <w:p w14:paraId="1FF7E5D7" w14:textId="5B98A0D5" w:rsidR="00367B18" w:rsidRPr="00367B18" w:rsidRDefault="00367B18" w:rsidP="00367B18">
      <w:pPr>
        <w:pStyle w:val="BodyText"/>
      </w:pPr>
      <w:r w:rsidRPr="00367B18">
        <w:t>The results presented in this volume demonstrate the value of integrating satellite</w:t>
      </w:r>
      <w:r w:rsidRPr="00367B18">
        <w:noBreakHyphen/>
        <w:t>derived precipitation, evapotranspiration, drought monitoring, and settlement</w:t>
      </w:r>
      <w:r w:rsidRPr="00367B18">
        <w:noBreakHyphen/>
        <w:t xml:space="preserve">mapping datasets to </w:t>
      </w:r>
      <w:r w:rsidRPr="00367B18">
        <w:lastRenderedPageBreak/>
        <w:t>improve understanding of hydrologic conditions across Guadalcanal and New Georgia. The combined analyses show that both regions exhibit strong seasonal rainfall patterns and generally positive annual water balances, yet remain vulnerable to short</w:t>
      </w:r>
      <w:r w:rsidRPr="00367B18">
        <w:noBreakHyphen/>
        <w:t>duration dry periods, ENSO</w:t>
      </w:r>
      <w:r w:rsidRPr="00367B18">
        <w:noBreakHyphen/>
        <w:t>related droughts, and episodic high</w:t>
      </w:r>
      <w:r w:rsidRPr="00367B18">
        <w:noBreakHyphen/>
        <w:t>intensity rainfall events that elevate turbidity and flood risk.</w:t>
      </w:r>
    </w:p>
    <w:p w14:paraId="1EEA87B7" w14:textId="285BFB77" w:rsidR="00367B18" w:rsidRPr="00367B18" w:rsidRDefault="00367B18" w:rsidP="00367B18">
      <w:pPr>
        <w:pStyle w:val="BodyText"/>
      </w:pPr>
      <w:r w:rsidRPr="00367B18">
        <w:t>The stability of actual evapotranspiration relative to precipitation underscores the importance of precipitation variability as the dominant control on freshwater availability, particularly in small, fast</w:t>
      </w:r>
      <w:r w:rsidRPr="00367B18">
        <w:noBreakHyphen/>
        <w:t>responding catchments such as those supplying Honiara. Drought index records highlight that even within high</w:t>
      </w:r>
      <w:r w:rsidRPr="00367B18">
        <w:noBreakHyphen/>
        <w:t>rainfall environments, prolonged relative dry periods recur and are spatially coherent across the Noro–Munda region. Infrastructure assessments and informal</w:t>
      </w:r>
      <w:r w:rsidRPr="00367B18">
        <w:noBreakHyphen/>
        <w:t>settlement mapping further show that expanding population centers face increasing exposure to hydrologic and geologic hazards, reinforcing the need for resilient, adaptive water</w:t>
      </w:r>
      <w:r w:rsidRPr="00367B18">
        <w:noBreakHyphen/>
        <w:t>supply systems.</w:t>
      </w:r>
    </w:p>
    <w:p w14:paraId="26654256" w14:textId="77777777" w:rsidR="00367B18" w:rsidRPr="00367B18" w:rsidRDefault="00367B18" w:rsidP="00367B18">
      <w:pPr>
        <w:pStyle w:val="BodyText"/>
      </w:pPr>
      <w:r w:rsidRPr="00367B18">
        <w:t>The datasets and methods summarized here provide water managers with consistent, accessible tools to evaluate seasonal conditions, anticipate periods of deficit, and support long</w:t>
      </w:r>
      <w:r w:rsidRPr="00367B18">
        <w:noBreakHyphen/>
        <w:t>term planning to strengthen water security for communities in the Solomon Islands.</w:t>
      </w:r>
    </w:p>
    <w:p w14:paraId="7FA5DADE" w14:textId="77777777" w:rsidR="00CA402A" w:rsidRDefault="00CA402A" w:rsidP="00CA402A">
      <w:pPr>
        <w:pStyle w:val="BodyText"/>
        <w:ind w:firstLine="0"/>
      </w:pPr>
    </w:p>
    <w:p w14:paraId="3A1FCCB1" w14:textId="77777777" w:rsidR="00DA6B7A" w:rsidRDefault="00DA6B7A" w:rsidP="00DA6B7A">
      <w:pPr>
        <w:pStyle w:val="RefHeadBack"/>
      </w:pPr>
      <w:bookmarkStart w:id="140" w:name="_Toc507583996"/>
      <w:bookmarkStart w:id="141" w:name="_Toc507584050"/>
      <w:bookmarkStart w:id="142" w:name="_Toc531073723"/>
      <w:bookmarkStart w:id="143" w:name="_Toc228286044"/>
      <w:r>
        <w:t>References Cited</w:t>
      </w:r>
      <w:bookmarkEnd w:id="140"/>
      <w:bookmarkEnd w:id="141"/>
      <w:bookmarkEnd w:id="142"/>
      <w:bookmarkEnd w:id="143"/>
    </w:p>
    <w:bookmarkEnd w:id="3"/>
    <w:bookmarkEnd w:id="4"/>
    <w:p w14:paraId="5B17AB77" w14:textId="11C38BC6" w:rsidR="00E74068" w:rsidRPr="000D767C" w:rsidRDefault="00E74068" w:rsidP="000D767C">
      <w:pPr>
        <w:pStyle w:val="Reference"/>
      </w:pPr>
      <w:r w:rsidRPr="000D767C">
        <w:t xml:space="preserve">ADB, 1965, Agreement establishing the Asian Development Bank signed at Manila, Dec. 4, 1965; entered into force Aug. 22, 1966, United Nations Treaty Series, vol. 608, p. 380. Available at: </w:t>
      </w:r>
      <w:hyperlink r:id="rId40" w:history="1">
        <w:r w:rsidRPr="000D767C">
          <w:rPr>
            <w:rStyle w:val="Hyperlink"/>
          </w:rPr>
          <w:t>Agreement Establishing the Asian Development Bank (ADB Charter)</w:t>
        </w:r>
      </w:hyperlink>
      <w:r w:rsidRPr="000D767C">
        <w:t>. Accessed 29 January 2026.</w:t>
      </w:r>
    </w:p>
    <w:p w14:paraId="4070C39A" w14:textId="27610407" w:rsidR="00A23CBC" w:rsidRPr="000D767C" w:rsidRDefault="00A23CBC" w:rsidP="009F4698">
      <w:pPr>
        <w:pStyle w:val="Reference"/>
        <w:rPr>
          <w:rFonts w:eastAsia="Times New Roman"/>
          <w:color w:val="1A1A1A"/>
        </w:rPr>
      </w:pPr>
      <w:r w:rsidRPr="000D767C">
        <w:rPr>
          <w:rFonts w:eastAsia="Times New Roman"/>
          <w:color w:val="1A1A1A"/>
        </w:rPr>
        <w:lastRenderedPageBreak/>
        <w:t xml:space="preserve">Asian Development Bank (2012). The State of Pacific Towns and Cities: Urbanization in ADB’s Pacific Developing Member Countries. Pacific Studies Series. Manila: ADB. Available at </w:t>
      </w:r>
      <w:hyperlink r:id="rId41" w:history="1">
        <w:r w:rsidRPr="000D767C">
          <w:rPr>
            <w:rStyle w:val="Hyperlink"/>
            <w:rFonts w:eastAsia="Times New Roman"/>
          </w:rPr>
          <w:t>https://www.adb.org/publications/state-pacific-towns-and-cities-urbanization-adbs-pacific-developing-member-countries</w:t>
        </w:r>
      </w:hyperlink>
    </w:p>
    <w:p w14:paraId="2523B473" w14:textId="77777777" w:rsidR="00A23CBC" w:rsidRPr="000D767C" w:rsidRDefault="00A23CBC" w:rsidP="000D767C">
      <w:pPr>
        <w:pStyle w:val="Reference"/>
      </w:pPr>
      <w:r w:rsidRPr="000D767C">
        <w:t xml:space="preserve">Asian Development Bank, 2021, </w:t>
      </w:r>
      <w:r w:rsidRPr="009F4698">
        <w:t>Urban Water Supply and Sanitation Sector Project (Solomon Islands): Initial Environmental Examination</w:t>
      </w:r>
      <w:r w:rsidRPr="000D767C">
        <w:t xml:space="preserve">, Section 4.1.1. Available at: </w:t>
      </w:r>
      <w:hyperlink r:id="rId42" w:tgtFrame="_blank" w:history="1">
        <w:r w:rsidRPr="000D767C">
          <w:rPr>
            <w:rStyle w:val="Hyperlink"/>
          </w:rPr>
          <w:t>https://www.adb.org/sites/default/files/project-documents/51271/51271-001-iee-en_2.pdf</w:t>
        </w:r>
      </w:hyperlink>
      <w:r w:rsidRPr="000D767C">
        <w:t>.</w:t>
      </w:r>
    </w:p>
    <w:p w14:paraId="410CD38C" w14:textId="77777777" w:rsidR="00A23CBC" w:rsidRPr="000D767C" w:rsidRDefault="00A23CBC" w:rsidP="009F4698">
      <w:pPr>
        <w:pStyle w:val="Reference"/>
        <w:rPr>
          <w:rFonts w:eastAsia="Times New Roman"/>
          <w:color w:val="1A1A1A"/>
        </w:rPr>
      </w:pPr>
      <w:r w:rsidRPr="000D767C">
        <w:rPr>
          <w:rFonts w:eastAsia="Times New Roman"/>
          <w:color w:val="1A1A1A"/>
        </w:rPr>
        <w:t xml:space="preserve">Connell, J. (2011). Elephants in the Pacific? Pacific </w:t>
      </w:r>
      <w:proofErr w:type="spellStart"/>
      <w:r w:rsidRPr="000D767C">
        <w:rPr>
          <w:rFonts w:eastAsia="Times New Roman"/>
          <w:color w:val="1A1A1A"/>
        </w:rPr>
        <w:t>urbanisation</w:t>
      </w:r>
      <w:proofErr w:type="spellEnd"/>
      <w:r w:rsidRPr="000D767C">
        <w:rPr>
          <w:rFonts w:eastAsia="Times New Roman"/>
          <w:color w:val="1A1A1A"/>
        </w:rPr>
        <w:t xml:space="preserve"> and its </w:t>
      </w:r>
      <w:proofErr w:type="gramStart"/>
      <w:r w:rsidRPr="000D767C">
        <w:rPr>
          <w:rFonts w:eastAsia="Times New Roman"/>
          <w:color w:val="1A1A1A"/>
        </w:rPr>
        <w:t>discontents</w:t>
      </w:r>
      <w:proofErr w:type="gramEnd"/>
      <w:r w:rsidRPr="000D767C">
        <w:rPr>
          <w:rFonts w:eastAsia="Times New Roman"/>
          <w:color w:val="1A1A1A"/>
        </w:rPr>
        <w:t xml:space="preserve">. Asia Pacific Viewpoint, 52(2), 121–135. </w:t>
      </w:r>
      <w:hyperlink r:id="rId43" w:history="1">
        <w:r w:rsidRPr="000D767C">
          <w:rPr>
            <w:rStyle w:val="Hyperlink"/>
            <w:rFonts w:eastAsia="Times New Roman"/>
          </w:rPr>
          <w:t>https://doi.org/10.1111/j.1467-8373.2011.01445.x</w:t>
        </w:r>
      </w:hyperlink>
    </w:p>
    <w:p w14:paraId="49149006" w14:textId="6693B9F4" w:rsidR="002D2D02" w:rsidRPr="000D767C" w:rsidRDefault="002D2D02" w:rsidP="009F4698">
      <w:pPr>
        <w:pStyle w:val="Reference"/>
      </w:pPr>
      <w:r w:rsidRPr="000D767C">
        <w:t xml:space="preserve">Chen, M.-C., C. Frohlich, F.W. Taylor, G. Burr, A.Q. van </w:t>
      </w:r>
      <w:proofErr w:type="spellStart"/>
      <w:r w:rsidRPr="000D767C">
        <w:t>Ullford</w:t>
      </w:r>
      <w:proofErr w:type="spellEnd"/>
      <w:r w:rsidRPr="000D767C">
        <w:t xml:space="preserve">. 2011. Arc segmentation and seismicity in the Solomon Islands arc, SW Pacific. Tectonophysics 507 (2011): 47-69. </w:t>
      </w:r>
      <w:proofErr w:type="gramStart"/>
      <w:r w:rsidRPr="000D767C">
        <w:t>doi:10.1016/j.tecto</w:t>
      </w:r>
      <w:proofErr w:type="gramEnd"/>
      <w:r w:rsidRPr="000D767C">
        <w:t>.2011.05.008</w:t>
      </w:r>
    </w:p>
    <w:p w14:paraId="35895C6E" w14:textId="77777777" w:rsidR="00E74068" w:rsidRPr="000D767C" w:rsidRDefault="00E74068" w:rsidP="000D767C">
      <w:pPr>
        <w:pStyle w:val="Reference"/>
      </w:pPr>
      <w:r w:rsidRPr="000D767C">
        <w:t xml:space="preserve">DeJonge, K.C., Allen, R.G., Kilic, A., Thorp, K.R., Kukal, M., Marek, G., Altenhofen, J., Amatya, D.M., </w:t>
      </w:r>
      <w:proofErr w:type="spellStart"/>
      <w:r w:rsidRPr="000D767C">
        <w:t>Blankenau</w:t>
      </w:r>
      <w:proofErr w:type="spellEnd"/>
      <w:r w:rsidRPr="000D767C">
        <w:t xml:space="preserve">, P., Datta, S., Grabow, G., Hashem, A., </w:t>
      </w:r>
      <w:proofErr w:type="spellStart"/>
      <w:r w:rsidRPr="000D767C">
        <w:t>Kisekka</w:t>
      </w:r>
      <w:proofErr w:type="spellEnd"/>
      <w:r w:rsidRPr="000D767C">
        <w:t xml:space="preserve">, I., Kjaersgaard, J., Marek, T., Peters, T., Porter, D., Reba, M., Rudnick, D., Senay, G., Sharma, V., Sridhar, V., Sun, G., </w:t>
      </w:r>
      <w:proofErr w:type="spellStart"/>
      <w:r w:rsidRPr="000D767C">
        <w:t>Taghvaeian</w:t>
      </w:r>
      <w:proofErr w:type="spellEnd"/>
      <w:r w:rsidRPr="000D767C">
        <w:t xml:space="preserve">, S., Trezza, R., and Trout, T., 2025, </w:t>
      </w:r>
      <w:r w:rsidRPr="009F4698">
        <w:t>Evapotranspiration terminology and definitions</w:t>
      </w:r>
      <w:r w:rsidRPr="000D767C">
        <w:t>: U.S. Geological Survey Publication, accessed April 11, 2026, at https://www.usgs.gov/publications/evapotranspiration-terminology-and-definitions.</w:t>
      </w:r>
    </w:p>
    <w:p w14:paraId="0854B297" w14:textId="2732FF01" w:rsidR="002D2D02" w:rsidRPr="000D767C" w:rsidRDefault="002D2D02" w:rsidP="009F4698">
      <w:pPr>
        <w:pStyle w:val="Reference"/>
      </w:pPr>
      <w:r w:rsidRPr="000D767C">
        <w:t>Earle, P.S., Wald, D.J., Jaiswal, K., Allen, T.I., Hearne, M.G., Marano, K., Hotovec, A.J., and Fee, J., 2009, Prompt Assessment of Global Earthquakes for Response (PAGER): A System for Rapidly Determining the Impact of Earthquakes Worldwide: U.S. Geological Survey Open-File Report 2009-1131, iii, 15 p., https://doi.org/10.3133/ofr20091131.</w:t>
      </w:r>
    </w:p>
    <w:p w14:paraId="645AB829" w14:textId="77777777" w:rsidR="00B505D3" w:rsidRPr="000D767C" w:rsidRDefault="00B505D3" w:rsidP="009F4698">
      <w:pPr>
        <w:pStyle w:val="Reference"/>
      </w:pPr>
      <w:proofErr w:type="spellStart"/>
      <w:r w:rsidRPr="000D767C">
        <w:rPr>
          <w:rFonts w:eastAsia="Times New Roman"/>
          <w:color w:val="1A1A1A"/>
        </w:rPr>
        <w:lastRenderedPageBreak/>
        <w:t>Foukona</w:t>
      </w:r>
      <w:proofErr w:type="spellEnd"/>
      <w:r w:rsidRPr="000D767C">
        <w:rPr>
          <w:rFonts w:eastAsia="Times New Roman"/>
          <w:color w:val="1A1A1A"/>
        </w:rPr>
        <w:t>, J. (2015). Urban land in Honiara: Strategies and rights to the city. The Journal of Pacific History, 50(4), 504–518. https://doi.org/10.1080/00223344.2015.1110328</w:t>
      </w:r>
    </w:p>
    <w:p w14:paraId="0757EBDE" w14:textId="24F63327" w:rsidR="00B505D3" w:rsidRPr="009F4698" w:rsidRDefault="00B505D3" w:rsidP="009F4698">
      <w:pPr>
        <w:pStyle w:val="Reference"/>
        <w:rPr>
          <w:rFonts w:eastAsia="Times New Roman"/>
          <w:color w:val="1A1A1A"/>
          <w:lang w:val="pt-BR"/>
        </w:rPr>
      </w:pPr>
      <w:proofErr w:type="spellStart"/>
      <w:r w:rsidRPr="000D767C">
        <w:rPr>
          <w:rFonts w:eastAsia="Times New Roman"/>
          <w:color w:val="1A1A1A"/>
        </w:rPr>
        <w:t>Foukona</w:t>
      </w:r>
      <w:proofErr w:type="spellEnd"/>
      <w:r w:rsidRPr="000D767C">
        <w:rPr>
          <w:rFonts w:eastAsia="Times New Roman"/>
          <w:color w:val="1A1A1A"/>
        </w:rPr>
        <w:t xml:space="preserve">, J., &amp; Allen, M. (2017). Urban land in Solomon Islands: Powers of exclusion and counter-exclusion. In S. McDonnell, M. Allen, &amp; C. Filer (Eds.), </w:t>
      </w:r>
      <w:proofErr w:type="spellStart"/>
      <w:r w:rsidRPr="000D767C">
        <w:rPr>
          <w:rFonts w:eastAsia="Times New Roman"/>
          <w:color w:val="1A1A1A"/>
        </w:rPr>
        <w:t>Kastom</w:t>
      </w:r>
      <w:proofErr w:type="spellEnd"/>
      <w:r w:rsidRPr="000D767C">
        <w:rPr>
          <w:rFonts w:eastAsia="Times New Roman"/>
          <w:color w:val="1A1A1A"/>
        </w:rPr>
        <w:t xml:space="preserve">, Property and Ideology: Land Transformations in Melanesia (pp. 85–110). </w:t>
      </w:r>
      <w:r w:rsidRPr="009F4698">
        <w:rPr>
          <w:rFonts w:eastAsia="Times New Roman"/>
          <w:color w:val="1A1A1A"/>
          <w:lang w:val="pt-BR"/>
        </w:rPr>
        <w:t xml:space="preserve">Canberra: ANU Press. </w:t>
      </w:r>
      <w:hyperlink r:id="rId44" w:history="1">
        <w:r w:rsidR="002D2D02" w:rsidRPr="009F4698">
          <w:rPr>
            <w:rStyle w:val="Hyperlink"/>
            <w:rFonts w:eastAsia="Times New Roman"/>
            <w:lang w:val="pt-BR"/>
          </w:rPr>
          <w:t>https://doi.org/10.22459/KPI.03.2017.03</w:t>
        </w:r>
      </w:hyperlink>
    </w:p>
    <w:p w14:paraId="79113966" w14:textId="77777777" w:rsidR="002D2D02" w:rsidRPr="000D767C" w:rsidRDefault="002D2D02" w:rsidP="009F4698">
      <w:pPr>
        <w:pStyle w:val="Reference"/>
        <w:rPr>
          <w:rFonts w:eastAsia="Times New Roman"/>
        </w:rPr>
      </w:pPr>
      <w:r w:rsidRPr="009F4698">
        <w:rPr>
          <w:rFonts w:eastAsia="Aptos"/>
          <w:color w:val="000000" w:themeColor="text1"/>
          <w:lang w:val="pt-BR"/>
        </w:rPr>
        <w:t xml:space="preserve">Geist, E. (USGS). </w:t>
      </w:r>
      <w:r w:rsidRPr="009F4698">
        <w:rPr>
          <w:rFonts w:eastAsia="Aptos"/>
          <w:color w:val="000000" w:themeColor="text1"/>
        </w:rPr>
        <w:t>Preliminary Analysis of the April 2007 Solomon Islands Tsunami, Southwest Pacific Ocean. Retrieved 15 April 2026.</w:t>
      </w:r>
    </w:p>
    <w:p w14:paraId="5300577F" w14:textId="086F0773" w:rsidR="00B505D3" w:rsidRPr="000D767C" w:rsidRDefault="00B505D3" w:rsidP="009F4698">
      <w:pPr>
        <w:pStyle w:val="Reference"/>
        <w:rPr>
          <w:rFonts w:eastAsia="Times New Roman"/>
          <w:color w:val="1A1A1A"/>
        </w:rPr>
      </w:pPr>
      <w:r w:rsidRPr="000D767C">
        <w:rPr>
          <w:rFonts w:eastAsia="Times New Roman"/>
          <w:color w:val="1A1A1A"/>
        </w:rPr>
        <w:t xml:space="preserve">He, K., </w:t>
      </w:r>
      <w:proofErr w:type="spellStart"/>
      <w:r w:rsidRPr="000D767C">
        <w:rPr>
          <w:rFonts w:eastAsia="Times New Roman"/>
          <w:color w:val="1A1A1A"/>
        </w:rPr>
        <w:t>Gkioxari</w:t>
      </w:r>
      <w:proofErr w:type="spellEnd"/>
      <w:r w:rsidRPr="000D767C">
        <w:rPr>
          <w:rFonts w:eastAsia="Times New Roman"/>
          <w:color w:val="1A1A1A"/>
        </w:rPr>
        <w:t xml:space="preserve">, G., </w:t>
      </w:r>
      <w:proofErr w:type="spellStart"/>
      <w:r w:rsidRPr="000D767C">
        <w:rPr>
          <w:rFonts w:eastAsia="Times New Roman"/>
          <w:color w:val="1A1A1A"/>
        </w:rPr>
        <w:t>Dollár</w:t>
      </w:r>
      <w:proofErr w:type="spellEnd"/>
      <w:r w:rsidRPr="000D767C">
        <w:rPr>
          <w:rFonts w:eastAsia="Times New Roman"/>
          <w:color w:val="1A1A1A"/>
        </w:rPr>
        <w:t xml:space="preserve">, P., &amp; </w:t>
      </w:r>
      <w:proofErr w:type="spellStart"/>
      <w:r w:rsidRPr="000D767C">
        <w:rPr>
          <w:rFonts w:eastAsia="Times New Roman"/>
          <w:color w:val="1A1A1A"/>
        </w:rPr>
        <w:t>Girshick</w:t>
      </w:r>
      <w:proofErr w:type="spellEnd"/>
      <w:r w:rsidRPr="000D767C">
        <w:rPr>
          <w:rFonts w:eastAsia="Times New Roman"/>
          <w:color w:val="1A1A1A"/>
        </w:rPr>
        <w:t xml:space="preserve">, R. (2017). Mask R-CNN. Proceedings of the IEEE International Conference on Computer Vision (ICCV), 2017, 2961–2969. </w:t>
      </w:r>
      <w:hyperlink r:id="rId45" w:history="1">
        <w:r w:rsidR="002D2D02" w:rsidRPr="000D767C">
          <w:rPr>
            <w:rStyle w:val="Hyperlink"/>
            <w:rFonts w:eastAsia="Times New Roman"/>
          </w:rPr>
          <w:t>https://doi.org/10.1109/ICCV.2017.322</w:t>
        </w:r>
      </w:hyperlink>
    </w:p>
    <w:p w14:paraId="3F3B6298" w14:textId="77777777" w:rsidR="002D2D02" w:rsidRPr="000D767C" w:rsidRDefault="002D2D02" w:rsidP="009F4698">
      <w:pPr>
        <w:pStyle w:val="Reference"/>
      </w:pPr>
      <w:proofErr w:type="spellStart"/>
      <w:r w:rsidRPr="000D767C">
        <w:rPr>
          <w:rFonts w:eastAsia="Times New Roman"/>
        </w:rPr>
        <w:t>Hijmans</w:t>
      </w:r>
      <w:proofErr w:type="spellEnd"/>
      <w:r w:rsidRPr="000D767C">
        <w:rPr>
          <w:rFonts w:eastAsia="Times New Roman"/>
        </w:rPr>
        <w:t>, R.J., 2024, terra—Spatial data analysis: Comprehensive R Archive Network (CRAN), R package, accessed 2024, at https://CRAN.R-project.org/package=terra.</w:t>
      </w:r>
    </w:p>
    <w:p w14:paraId="64422720" w14:textId="77777777" w:rsidR="002D2D02" w:rsidRPr="000D767C" w:rsidRDefault="002D2D02" w:rsidP="009F4698">
      <w:pPr>
        <w:pStyle w:val="Reference"/>
      </w:pPr>
      <w:r w:rsidRPr="000D767C">
        <w:rPr>
          <w:rFonts w:eastAsia="Times New Roman"/>
        </w:rPr>
        <w:t xml:space="preserve">Huffman, G.J., Bolvin, D.T., Braithwaite, D., Hsu, K.L., Joyce, R.J., Kidd, C., Nelkin, E.J., </w:t>
      </w:r>
      <w:proofErr w:type="spellStart"/>
      <w:r w:rsidRPr="000D767C">
        <w:rPr>
          <w:rFonts w:eastAsia="Times New Roman"/>
        </w:rPr>
        <w:t>Sorooshian</w:t>
      </w:r>
      <w:proofErr w:type="spellEnd"/>
      <w:r w:rsidRPr="000D767C">
        <w:rPr>
          <w:rFonts w:eastAsia="Times New Roman"/>
        </w:rPr>
        <w:t xml:space="preserve">, S., Stocker, E.F., Tan, J., Wolff, D.B., and Xie, P., 2020, Integrated Multi-satellite Retrievals for the Global Precipitation Measurement (GPM) Mission (IMERG), </w:t>
      </w:r>
      <w:r w:rsidRPr="009F4698">
        <w:rPr>
          <w:rFonts w:eastAsia="Times New Roman"/>
        </w:rPr>
        <w:t xml:space="preserve">in </w:t>
      </w:r>
      <w:proofErr w:type="spellStart"/>
      <w:r w:rsidRPr="000D767C">
        <w:rPr>
          <w:rFonts w:eastAsia="Times New Roman"/>
        </w:rPr>
        <w:t>Levizzani</w:t>
      </w:r>
      <w:proofErr w:type="spellEnd"/>
      <w:r w:rsidRPr="000D767C">
        <w:rPr>
          <w:rFonts w:eastAsia="Times New Roman"/>
        </w:rPr>
        <w:t>, V., Kidd, C., Kirschbaum, D.B., Kummerow, C.D., Nakamura, K., and Turk, F.J., eds., Satellite Precipitation Measurement: Advances in Global Change Research, v. 67, Springer, Cham, p. 343–353, https://doi.org/10.1007/978-3-030-24568-9_19.</w:t>
      </w:r>
    </w:p>
    <w:p w14:paraId="1963F47F" w14:textId="77777777" w:rsidR="009B6B74" w:rsidRPr="000D767C" w:rsidRDefault="009B6B74" w:rsidP="000D767C">
      <w:pPr>
        <w:pStyle w:val="Reference"/>
      </w:pPr>
      <w:r w:rsidRPr="000D767C">
        <w:t xml:space="preserve">Huffman, G.J., E. F. Stocker, D. T. Bolvin, E. J. Nelkin, and J. Tan, 2019, </w:t>
      </w:r>
      <w:r w:rsidRPr="009F4698">
        <w:t>GPM IMERG Final Precipitation L3 1 Day 0.1°×0.1° V07</w:t>
      </w:r>
      <w:r w:rsidRPr="000D767C">
        <w:t xml:space="preserve"> (GPM_3IMERGDF), Goddard Earth Sciences Data and Information Services Center (GES DISC), accessed April 10, 2026, </w:t>
      </w:r>
      <w:hyperlink r:id="rId46" w:history="1">
        <w:r w:rsidRPr="000D767C">
          <w:rPr>
            <w:rStyle w:val="Hyperlink"/>
          </w:rPr>
          <w:t>https://doi.org/10.5067/GPM/IMERGDF/DAY/07</w:t>
        </w:r>
      </w:hyperlink>
    </w:p>
    <w:p w14:paraId="4F2997A6" w14:textId="77777777" w:rsidR="00B505D3" w:rsidRPr="000D767C" w:rsidRDefault="00B505D3" w:rsidP="009F4698">
      <w:pPr>
        <w:pStyle w:val="Reference"/>
      </w:pPr>
      <w:r w:rsidRPr="000D767C">
        <w:rPr>
          <w:rFonts w:eastAsia="Times New Roman"/>
          <w:color w:val="1A1A1A"/>
        </w:rPr>
        <w:lastRenderedPageBreak/>
        <w:t>Jones, P. (2016). The Emergence of Pacific Urban Villages: Urbanization Trends in the Pacific Islands. Pacific Studies Series. Manila: Asian Development Bank.</w:t>
      </w:r>
    </w:p>
    <w:p w14:paraId="191D803E" w14:textId="77777777" w:rsidR="00B505D3" w:rsidRPr="000D767C" w:rsidRDefault="00B505D3" w:rsidP="009F4698">
      <w:pPr>
        <w:pStyle w:val="Reference"/>
      </w:pPr>
      <w:r w:rsidRPr="000D767C">
        <w:rPr>
          <w:rFonts w:eastAsia="Times New Roman"/>
          <w:color w:val="1A1A1A"/>
        </w:rPr>
        <w:t>Keen, M., &amp; Kiddle, G.L. (2016). Priced out of the market: Informal settlements in Honiara, Solomon Islands. SSGM In Brief 2016/28. Canberra: Australian National University.</w:t>
      </w:r>
    </w:p>
    <w:p w14:paraId="304B7F06" w14:textId="77777777" w:rsidR="00C60C6E" w:rsidRPr="000D767C" w:rsidRDefault="00C60C6E" w:rsidP="009F4698">
      <w:pPr>
        <w:pStyle w:val="Reference"/>
      </w:pPr>
      <w:r w:rsidRPr="000D767C">
        <w:rPr>
          <w:rFonts w:eastAsia="Times New Roman"/>
          <w:color w:val="1A1A1A"/>
        </w:rPr>
        <w:t xml:space="preserve">Keen, M., Barbara, J., Carpenter, J., Evans, D., &amp; </w:t>
      </w:r>
      <w:proofErr w:type="spellStart"/>
      <w:r w:rsidRPr="000D767C">
        <w:rPr>
          <w:rFonts w:eastAsia="Times New Roman"/>
          <w:color w:val="1A1A1A"/>
        </w:rPr>
        <w:t>Foukona</w:t>
      </w:r>
      <w:proofErr w:type="spellEnd"/>
      <w:r w:rsidRPr="000D767C">
        <w:rPr>
          <w:rFonts w:eastAsia="Times New Roman"/>
          <w:color w:val="1A1A1A"/>
        </w:rPr>
        <w:t>, J. (2017). Urban Development in Honiara: Harnessing Opportunities, Embracing Change. SSGM Research Report. Canberra: Australian National University.</w:t>
      </w:r>
    </w:p>
    <w:p w14:paraId="1BCD84AC" w14:textId="2F7693A4" w:rsidR="00B505D3" w:rsidRPr="000D767C" w:rsidRDefault="00B505D3" w:rsidP="009F4698">
      <w:pPr>
        <w:pStyle w:val="Reference"/>
        <w:rPr>
          <w:rFonts w:eastAsia="Times New Roman"/>
          <w:color w:val="1A1A1A"/>
        </w:rPr>
      </w:pPr>
      <w:r w:rsidRPr="009F4698">
        <w:rPr>
          <w:rFonts w:eastAsia="Times New Roman"/>
          <w:color w:val="1A1A1A"/>
          <w:lang w:val="pt-BR"/>
        </w:rPr>
        <w:t xml:space="preserve">Lu, D., Mausel, P., Brondízio, E., &amp; Moran, E. (2004). </w:t>
      </w:r>
      <w:r w:rsidRPr="000D767C">
        <w:rPr>
          <w:rFonts w:eastAsia="Times New Roman"/>
          <w:color w:val="1A1A1A"/>
        </w:rPr>
        <w:t xml:space="preserve">Change detection techniques. International Journal of Remote Sensing, 25(12), 2365–2401. </w:t>
      </w:r>
      <w:hyperlink r:id="rId47" w:history="1">
        <w:r w:rsidR="00C60C6E" w:rsidRPr="000D767C">
          <w:rPr>
            <w:rStyle w:val="Hyperlink"/>
            <w:rFonts w:eastAsia="Times New Roman"/>
          </w:rPr>
          <w:t>https://doi.org/10.1080/0143116031000139863</w:t>
        </w:r>
      </w:hyperlink>
    </w:p>
    <w:p w14:paraId="7660B352" w14:textId="77777777" w:rsidR="00C60C6E" w:rsidRPr="000D767C" w:rsidRDefault="00C60C6E" w:rsidP="000D767C">
      <w:pPr>
        <w:pStyle w:val="Reference"/>
      </w:pPr>
      <w:r w:rsidRPr="000D767C">
        <w:t xml:space="preserve">Ministry of Natural Resources (MNR), Solomon Islands, 1979, </w:t>
      </w:r>
      <w:r w:rsidRPr="009F4698">
        <w:t>Geology of the Honiara area, Guadalcanal: Geological Map and Stratigraphic Classification</w:t>
      </w:r>
      <w:r w:rsidRPr="000D767C">
        <w:t xml:space="preserve">; unpublished governmental report prepared for the Government of Solomon Islands, 1979 </w:t>
      </w:r>
    </w:p>
    <w:p w14:paraId="36676C2A" w14:textId="77777777" w:rsidR="00B505D3" w:rsidRPr="000D767C" w:rsidRDefault="00B505D3" w:rsidP="009F4698">
      <w:pPr>
        <w:pStyle w:val="Reference"/>
      </w:pPr>
      <w:r w:rsidRPr="000D767C">
        <w:rPr>
          <w:rFonts w:eastAsia="Times New Roman"/>
          <w:color w:val="1A1A1A"/>
        </w:rPr>
        <w:t>Moore, C. (2015). Honiara: Arrival city and Pacific hybrid living space. The Journal of Pacific History, 50(4), 419–436. https://doi.org/10.1080/00223344.2015.1110869</w:t>
      </w:r>
    </w:p>
    <w:p w14:paraId="38AD4B25" w14:textId="77777777" w:rsidR="00B505D3" w:rsidRPr="000D767C" w:rsidRDefault="00B505D3" w:rsidP="009F4698">
      <w:pPr>
        <w:pStyle w:val="Reference"/>
      </w:pPr>
      <w:r w:rsidRPr="000D767C">
        <w:rPr>
          <w:rFonts w:eastAsia="Times New Roman"/>
          <w:color w:val="1A1A1A"/>
        </w:rPr>
        <w:t>Moore, C. (2022). Honiara: Village-City of Solomon Islands. Pacific Series. Canberra: ANU Press. https://doi.org/10.22459/H.2022</w:t>
      </w:r>
    </w:p>
    <w:p w14:paraId="0C7E7FA2" w14:textId="77777777" w:rsidR="007C31DA" w:rsidRPr="000D767C" w:rsidRDefault="007C31DA" w:rsidP="009F4698">
      <w:pPr>
        <w:pStyle w:val="Reference"/>
      </w:pPr>
      <w:r w:rsidRPr="000D767C">
        <w:rPr>
          <w:rFonts w:eastAsia="Times New Roman"/>
        </w:rPr>
        <w:t>National Aeronautics and Space Administration, 2025, IMERG—Integrated Multi-</w:t>
      </w:r>
      <w:proofErr w:type="spellStart"/>
      <w:r w:rsidRPr="000D767C">
        <w:rPr>
          <w:rFonts w:eastAsia="Times New Roman"/>
        </w:rPr>
        <w:t>satellitE</w:t>
      </w:r>
      <w:proofErr w:type="spellEnd"/>
      <w:r w:rsidRPr="000D767C">
        <w:rPr>
          <w:rFonts w:eastAsia="Times New Roman"/>
        </w:rPr>
        <w:t xml:space="preserve"> Retrievals for GPM: National Aeronautics and Space Administration digital data, accessed March 2025, at https://gpm.nasa.gov/data/imerg.</w:t>
      </w:r>
    </w:p>
    <w:p w14:paraId="6BF31BAD" w14:textId="77777777" w:rsidR="007C31DA" w:rsidRPr="000D767C" w:rsidRDefault="007C31DA" w:rsidP="009F4698">
      <w:pPr>
        <w:pStyle w:val="Reference"/>
      </w:pPr>
      <w:r w:rsidRPr="000D767C">
        <w:rPr>
          <w:rFonts w:eastAsia="Times New Roman"/>
        </w:rPr>
        <w:t>Pacific ENSO Applications Climate Center [PEAC], 2015, 3rd quarter, 2015: Pacific ENSO Update, v. 21, no. 3, accessed 2023, at https://www.weather.gov/media/peac/PEU/PEU_v21_n3.pdf.</w:t>
      </w:r>
    </w:p>
    <w:p w14:paraId="6879B408" w14:textId="2B7D5FB4" w:rsidR="007C31DA" w:rsidRPr="000D767C" w:rsidRDefault="007C31DA" w:rsidP="009F4698">
      <w:pPr>
        <w:pStyle w:val="Reference"/>
        <w:rPr>
          <w:rFonts w:eastAsia="Times New Roman"/>
        </w:rPr>
      </w:pPr>
      <w:proofErr w:type="spellStart"/>
      <w:r w:rsidRPr="000D767C">
        <w:rPr>
          <w:rFonts w:eastAsia="Times New Roman"/>
        </w:rPr>
        <w:lastRenderedPageBreak/>
        <w:t>Pebesma</w:t>
      </w:r>
      <w:proofErr w:type="spellEnd"/>
      <w:r w:rsidRPr="000D767C">
        <w:rPr>
          <w:rFonts w:eastAsia="Times New Roman"/>
        </w:rPr>
        <w:t xml:space="preserve">, E., 2018, Simple features for R—Standardized support for spatial vector data: </w:t>
      </w:r>
      <w:r w:rsidRPr="009F4698">
        <w:rPr>
          <w:rFonts w:eastAsia="Times New Roman"/>
        </w:rPr>
        <w:t xml:space="preserve">The R Journal, </w:t>
      </w:r>
      <w:r w:rsidRPr="000D767C">
        <w:rPr>
          <w:rFonts w:eastAsia="Times New Roman"/>
        </w:rPr>
        <w:t xml:space="preserve">v. 10, no. 1, p. 439–446, </w:t>
      </w:r>
      <w:hyperlink r:id="rId48" w:history="1">
        <w:r w:rsidR="002D2D02" w:rsidRPr="000D767C">
          <w:rPr>
            <w:rStyle w:val="Hyperlink"/>
            <w:rFonts w:eastAsia="Times New Roman"/>
          </w:rPr>
          <w:t>https://doi.org/10.32614/RJ-2018-009</w:t>
        </w:r>
      </w:hyperlink>
      <w:r w:rsidRPr="000D767C">
        <w:rPr>
          <w:rFonts w:eastAsia="Times New Roman"/>
        </w:rPr>
        <w:t>.</w:t>
      </w:r>
    </w:p>
    <w:p w14:paraId="7EA580C9" w14:textId="77777777" w:rsidR="00DF29A2" w:rsidRPr="000D767C" w:rsidRDefault="00DF29A2" w:rsidP="000D767C">
      <w:pPr>
        <w:pStyle w:val="Reference"/>
      </w:pPr>
      <w:r w:rsidRPr="000D767C">
        <w:t xml:space="preserve">Petterson, M.A., 2017, </w:t>
      </w:r>
      <w:r w:rsidRPr="009F4698">
        <w:t>The geology of North and Central Malaita (including implications for Guadalcanal and Choiseul), Solomon Islands</w:t>
      </w:r>
      <w:r w:rsidRPr="000D767C">
        <w:t xml:space="preserve">: [unpublished manuscript], 143 p. </w:t>
      </w:r>
    </w:p>
    <w:p w14:paraId="1FFC7E3C" w14:textId="2F3D6FEA" w:rsidR="007C31DA" w:rsidRPr="000D767C" w:rsidRDefault="007C31DA" w:rsidP="009F4698">
      <w:pPr>
        <w:pStyle w:val="Reference"/>
        <w:rPr>
          <w:rFonts w:eastAsia="Times New Roman"/>
        </w:rPr>
      </w:pPr>
      <w:r w:rsidRPr="000D767C">
        <w:rPr>
          <w:rFonts w:eastAsia="Times New Roman"/>
        </w:rPr>
        <w:t xml:space="preserve">R Core Team, 2024, R—A language and environment for statistical computing: Vienna, Austria, R Foundation for Statistical Computing, </w:t>
      </w:r>
      <w:hyperlink r:id="rId49" w:history="1">
        <w:r w:rsidR="002D2D02" w:rsidRPr="000D767C">
          <w:rPr>
            <w:rStyle w:val="Hyperlink"/>
            <w:rFonts w:eastAsia="Times New Roman"/>
          </w:rPr>
          <w:t>https://www.R-project.org/</w:t>
        </w:r>
      </w:hyperlink>
      <w:r w:rsidRPr="000D767C">
        <w:rPr>
          <w:rFonts w:eastAsia="Times New Roman"/>
        </w:rPr>
        <w:t>.</w:t>
      </w:r>
    </w:p>
    <w:p w14:paraId="34631291" w14:textId="7128CC14" w:rsidR="002D2D02" w:rsidRPr="000D767C" w:rsidRDefault="002D2D02" w:rsidP="009F4698">
      <w:pPr>
        <w:pStyle w:val="Reference"/>
        <w:rPr>
          <w:rFonts w:eastAsia="Times New Roman"/>
          <w:color w:val="1A1A1A"/>
        </w:rPr>
      </w:pPr>
      <w:r w:rsidRPr="000D767C">
        <w:rPr>
          <w:rFonts w:eastAsia="Times New Roman"/>
          <w:color w:val="1A1A1A"/>
        </w:rPr>
        <w:t xml:space="preserve">Scheffler, D., Hollstein, A., Diedrich, H., </w:t>
      </w:r>
      <w:proofErr w:type="spellStart"/>
      <w:r w:rsidRPr="000D767C">
        <w:rPr>
          <w:rFonts w:eastAsia="Times New Roman"/>
          <w:color w:val="1A1A1A"/>
        </w:rPr>
        <w:t>Segl</w:t>
      </w:r>
      <w:proofErr w:type="spellEnd"/>
      <w:r w:rsidRPr="000D767C">
        <w:rPr>
          <w:rFonts w:eastAsia="Times New Roman"/>
          <w:color w:val="1A1A1A"/>
        </w:rPr>
        <w:t xml:space="preserve">, K., &amp; Hostert, P. (2017). AROSICS: An automated and robust open-source image co-registration software for multi-sensor satellite data. Remote Sensing, 9(7), 676. </w:t>
      </w:r>
      <w:hyperlink r:id="rId50" w:history="1">
        <w:r w:rsidR="001450AB" w:rsidRPr="000D767C">
          <w:rPr>
            <w:rStyle w:val="Hyperlink"/>
            <w:rFonts w:eastAsia="Times New Roman"/>
          </w:rPr>
          <w:t>https://doi.org/10.3390/rs9070676</w:t>
        </w:r>
      </w:hyperlink>
    </w:p>
    <w:p w14:paraId="03962709" w14:textId="77777777" w:rsidR="00DF29A2" w:rsidRPr="000D767C" w:rsidRDefault="00DF29A2" w:rsidP="000D767C">
      <w:pPr>
        <w:pStyle w:val="Reference"/>
      </w:pPr>
      <w:r w:rsidRPr="000D767C">
        <w:t xml:space="preserve">Secretariat of the Pacific Community, 2015. </w:t>
      </w:r>
      <w:r w:rsidRPr="009F4698">
        <w:t>Honiara Urban Water Supply: Integrated Water Resource Management – Springs and Groundwater Sources</w:t>
      </w:r>
      <w:r w:rsidRPr="000D767C">
        <w:t xml:space="preserve"> [PDF].</w:t>
      </w:r>
      <w:r w:rsidRPr="000D767C">
        <w:br/>
        <w:t xml:space="preserve">https://spccfpstore1.blob.core.windows.net/digitallibrary-docs/files/ea/ea42cb2c293eeda24c417f247b10e1fe.pdf </w:t>
      </w:r>
    </w:p>
    <w:p w14:paraId="5E255A03" w14:textId="77777777" w:rsidR="001450AB" w:rsidRPr="000D767C" w:rsidRDefault="001450AB" w:rsidP="000D767C">
      <w:pPr>
        <w:pStyle w:val="Reference"/>
      </w:pPr>
      <w:r w:rsidRPr="000D767C">
        <w:t>Senay, G.B., Kagone, S., and Velpuri, N.M., 2020, Operational global actual evapotranspiration using the SSEBop model—USGS data release: U.S. Geological Survey Data Release, DOI:10.5066/P9OUVUUI.</w:t>
      </w:r>
    </w:p>
    <w:p w14:paraId="348389C8" w14:textId="4C0482CE" w:rsidR="007C31DA" w:rsidRPr="000D767C" w:rsidRDefault="007C31DA" w:rsidP="009F4698">
      <w:pPr>
        <w:pStyle w:val="Reference"/>
        <w:rPr>
          <w:rFonts w:eastAsia="Times New Roman"/>
        </w:rPr>
      </w:pPr>
      <w:r w:rsidRPr="000D767C">
        <w:rPr>
          <w:rFonts w:eastAsia="Times New Roman"/>
        </w:rPr>
        <w:t xml:space="preserve">Senay, G.B., Helweg, D.A., Kagone, S., Taylor, J.B., Cecere, T., Eastmond, T., Koch, A., Nelson, K., and Rufus, L., 2023, Developing satellite-estimated precipitation monthly reports for selected locations in the Republic of the Marshall Islands: U.S. Geological Survey Data Report 1181, 7 p., </w:t>
      </w:r>
      <w:hyperlink r:id="rId51" w:history="1">
        <w:r w:rsidR="00A23CBC" w:rsidRPr="000D767C">
          <w:rPr>
            <w:rStyle w:val="Hyperlink"/>
            <w:rFonts w:eastAsia="Times New Roman"/>
          </w:rPr>
          <w:t>https://doi.org/10.3133/dr1181</w:t>
        </w:r>
      </w:hyperlink>
      <w:r w:rsidRPr="000D767C">
        <w:rPr>
          <w:rFonts w:eastAsia="Times New Roman"/>
        </w:rPr>
        <w:t>.</w:t>
      </w:r>
    </w:p>
    <w:p w14:paraId="1F6C53BF" w14:textId="77777777" w:rsidR="00C60C6E" w:rsidRPr="000D767C" w:rsidRDefault="00C60C6E" w:rsidP="000D767C">
      <w:pPr>
        <w:pStyle w:val="Reference"/>
      </w:pPr>
      <w:r w:rsidRPr="000D767C">
        <w:t xml:space="preserve">Solomon Islands Water Authority (Solomon Water), 2021. </w:t>
      </w:r>
      <w:r w:rsidRPr="009F4698">
        <w:t>Initial Environmental Examination: Urban Water Supply and Sanitation Sector Project – Honiara Water Supply components</w:t>
      </w:r>
      <w:r w:rsidRPr="000D767C">
        <w:t xml:space="preserve"> </w:t>
      </w:r>
      <w:r w:rsidRPr="000D767C">
        <w:lastRenderedPageBreak/>
        <w:t>[PDF]. Asian Development Bank/World Bank.</w:t>
      </w:r>
      <w:r w:rsidRPr="000D767C">
        <w:br/>
        <w:t xml:space="preserve">https://www.adb.org/sites/default/files/project-documents/51271/51271-001-iee-en_12.pdf </w:t>
      </w:r>
    </w:p>
    <w:p w14:paraId="2DFE8177" w14:textId="77777777" w:rsidR="00C60C6E" w:rsidRPr="000D767C" w:rsidRDefault="00C60C6E" w:rsidP="000D767C">
      <w:pPr>
        <w:pStyle w:val="Reference"/>
      </w:pPr>
      <w:r w:rsidRPr="000D767C">
        <w:t xml:space="preserve">Tribble, G.W., 2008, </w:t>
      </w:r>
      <w:r w:rsidRPr="009F4698">
        <w:t>Ground water on tropical Pacific Islands—understanding a vital resource</w:t>
      </w:r>
      <w:r w:rsidRPr="000D767C">
        <w:t>: U.S. Geological Survey Circular 1312, 35 p.</w:t>
      </w:r>
    </w:p>
    <w:p w14:paraId="0F31F254" w14:textId="77777777" w:rsidR="00A23CBC" w:rsidRPr="000D767C" w:rsidRDefault="00A23CBC" w:rsidP="009F4698">
      <w:pPr>
        <w:pStyle w:val="Reference"/>
        <w:rPr>
          <w:rFonts w:eastAsia="Times New Roman"/>
          <w:color w:val="1A1A1A"/>
        </w:rPr>
      </w:pPr>
      <w:r w:rsidRPr="000D767C">
        <w:rPr>
          <w:rFonts w:eastAsia="Times New Roman"/>
          <w:color w:val="1A1A1A"/>
        </w:rPr>
        <w:t xml:space="preserve">UN-Habitat (2012). Solomon Islands: Honiara Urban Profile. Nairobi: United Nations Human Settlements </w:t>
      </w:r>
      <w:proofErr w:type="spellStart"/>
      <w:r w:rsidRPr="000D767C">
        <w:rPr>
          <w:rFonts w:eastAsia="Times New Roman"/>
          <w:color w:val="1A1A1A"/>
        </w:rPr>
        <w:t>Programme</w:t>
      </w:r>
      <w:proofErr w:type="spellEnd"/>
      <w:r w:rsidRPr="000D767C">
        <w:rPr>
          <w:rFonts w:eastAsia="Times New Roman"/>
          <w:color w:val="1A1A1A"/>
        </w:rPr>
        <w:t xml:space="preserve">. Available at </w:t>
      </w:r>
      <w:hyperlink r:id="rId52" w:history="1">
        <w:r w:rsidRPr="000D767C">
          <w:rPr>
            <w:rStyle w:val="Hyperlink"/>
            <w:rFonts w:eastAsia="Times New Roman"/>
          </w:rPr>
          <w:t>https://unhabitat.org</w:t>
        </w:r>
      </w:hyperlink>
    </w:p>
    <w:p w14:paraId="0A2A3F16" w14:textId="5CC4F8BF" w:rsidR="00A23CBC" w:rsidRPr="000D767C" w:rsidRDefault="00A23CBC" w:rsidP="000D767C">
      <w:pPr>
        <w:pStyle w:val="Reference"/>
      </w:pPr>
      <w:r w:rsidRPr="00C51FA7">
        <w:t>USGS Data release</w:t>
      </w:r>
    </w:p>
    <w:p w14:paraId="5483C848" w14:textId="77777777" w:rsidR="00A23CBC" w:rsidRPr="000D767C" w:rsidRDefault="00A23CBC" w:rsidP="000D767C">
      <w:pPr>
        <w:pStyle w:val="Reference"/>
      </w:pPr>
      <w:r w:rsidRPr="000D767C">
        <w:t xml:space="preserve">White, I., 2016, </w:t>
      </w:r>
      <w:r w:rsidRPr="009F4698">
        <w:t>Summary of hot</w:t>
      </w:r>
      <w:r w:rsidRPr="009F4698">
        <w:noBreakHyphen/>
        <w:t>spot analysis based on historic rainfall data, Solomon Islands</w:t>
      </w:r>
      <w:r w:rsidRPr="000D767C">
        <w:t xml:space="preserve">; Australian National University report prepared for UNICEF Pacific (April 2016). Available at: </w:t>
      </w:r>
      <w:hyperlink r:id="rId53" w:tgtFrame="_blank" w:history="1">
        <w:r w:rsidRPr="000D767C">
          <w:rPr>
            <w:rStyle w:val="Hyperlink"/>
          </w:rPr>
          <w:t>https://docslib.org/doc/2559048/multi</w:t>
        </w:r>
        <w:r w:rsidRPr="000D767C">
          <w:rPr>
            <w:rStyle w:val="Hyperlink"/>
          </w:rPr>
          <w:noBreakHyphen/>
          <w:t>country</w:t>
        </w:r>
        <w:r w:rsidRPr="000D767C">
          <w:rPr>
            <w:rStyle w:val="Hyperlink"/>
          </w:rPr>
          <w:noBreakHyphen/>
          <w:t>drought</w:t>
        </w:r>
        <w:r w:rsidRPr="000D767C">
          <w:rPr>
            <w:rStyle w:val="Hyperlink"/>
          </w:rPr>
          <w:noBreakHyphen/>
          <w:t>preparedness</w:t>
        </w:r>
        <w:r w:rsidRPr="000D767C">
          <w:rPr>
            <w:rStyle w:val="Hyperlink"/>
          </w:rPr>
          <w:noBreakHyphen/>
          <w:t>and</w:t>
        </w:r>
        <w:r w:rsidRPr="000D767C">
          <w:rPr>
            <w:rStyle w:val="Hyperlink"/>
          </w:rPr>
          <w:noBreakHyphen/>
          <w:t>response</w:t>
        </w:r>
        <w:r w:rsidRPr="000D767C">
          <w:rPr>
            <w:rStyle w:val="Hyperlink"/>
          </w:rPr>
          <w:noBreakHyphen/>
          <w:t>plan</w:t>
        </w:r>
        <w:r w:rsidRPr="000D767C">
          <w:rPr>
            <w:rStyle w:val="Hyperlink"/>
          </w:rPr>
          <w:noBreakHyphen/>
          <w:t>design</w:t>
        </w:r>
        <w:r w:rsidRPr="000D767C">
          <w:rPr>
            <w:rStyle w:val="Hyperlink"/>
          </w:rPr>
          <w:noBreakHyphen/>
          <w:t>solomon</w:t>
        </w:r>
        <w:r w:rsidRPr="000D767C">
          <w:rPr>
            <w:rStyle w:val="Hyperlink"/>
          </w:rPr>
          <w:noBreakHyphen/>
          <w:t>islands</w:t>
        </w:r>
        <w:r w:rsidRPr="000D767C">
          <w:rPr>
            <w:rStyle w:val="Hyperlink"/>
          </w:rPr>
          <w:noBreakHyphen/>
          <w:t>1</w:t>
        </w:r>
        <w:r w:rsidRPr="000D767C">
          <w:rPr>
            <w:rStyle w:val="Hyperlink"/>
          </w:rPr>
          <w:noBreakHyphen/>
          <w:t>annual</w:t>
        </w:r>
        <w:r w:rsidRPr="000D767C">
          <w:rPr>
            <w:rStyle w:val="Hyperlink"/>
          </w:rPr>
          <w:noBreakHyphen/>
          <w:t>rainfall</w:t>
        </w:r>
        <w:r w:rsidRPr="000D767C">
          <w:rPr>
            <w:rStyle w:val="Hyperlink"/>
          </w:rPr>
          <w:noBreakHyphen/>
          <w:t>january</w:t>
        </w:r>
        <w:r w:rsidRPr="000D767C">
          <w:rPr>
            <w:rStyle w:val="Hyperlink"/>
          </w:rPr>
          <w:noBreakHyphen/>
          <w:t>2016</w:t>
        </w:r>
        <w:r w:rsidRPr="000D767C">
          <w:rPr>
            <w:rStyle w:val="Hyperlink"/>
          </w:rPr>
          <w:noBreakHyphen/>
          <w:t>unicef</w:t>
        </w:r>
        <w:r w:rsidRPr="000D767C">
          <w:rPr>
            <w:rStyle w:val="Hyperlink"/>
          </w:rPr>
          <w:noBreakHyphen/>
          <w:t>pacific</w:t>
        </w:r>
      </w:hyperlink>
      <w:r w:rsidRPr="000D767C">
        <w:t>.</w:t>
      </w:r>
    </w:p>
    <w:p w14:paraId="35498A29" w14:textId="08142E56" w:rsidR="007C31DA" w:rsidRPr="000D767C" w:rsidRDefault="007C31DA" w:rsidP="009F4698">
      <w:pPr>
        <w:pStyle w:val="Reference"/>
        <w:rPr>
          <w:rFonts w:eastAsia="Times New Roman"/>
        </w:rPr>
      </w:pPr>
      <w:r w:rsidRPr="000D767C">
        <w:rPr>
          <w:rFonts w:eastAsia="Times New Roman"/>
        </w:rPr>
        <w:t xml:space="preserve">Wickham, H., Averick, M., Bryan, J., Chang, W., McGowan, L.D., François, R., Grolemund, G., Hayes, A., Henry, L., Hester, J., Kuhn, M., Pedersen, T.L., Miller, E., Bache, S.M., Müller, K., Ooms, J., Robinson, D., Seidel, D.P., Spinu, V., Takahashi, K., Vaughan, D., Wilke, C., Woo, K., and Yutani, H., 2019, Welcome to the </w:t>
      </w:r>
      <w:proofErr w:type="spellStart"/>
      <w:r w:rsidRPr="000D767C">
        <w:rPr>
          <w:rFonts w:eastAsia="Times New Roman"/>
        </w:rPr>
        <w:t>Tidyverse</w:t>
      </w:r>
      <w:proofErr w:type="spellEnd"/>
      <w:r w:rsidRPr="000D767C">
        <w:rPr>
          <w:rFonts w:eastAsia="Times New Roman"/>
        </w:rPr>
        <w:t xml:space="preserve">: </w:t>
      </w:r>
      <w:r w:rsidRPr="009F4698">
        <w:rPr>
          <w:rFonts w:eastAsia="Times New Roman"/>
        </w:rPr>
        <w:t xml:space="preserve">Journal of Open Source Software, </w:t>
      </w:r>
      <w:r w:rsidRPr="000D767C">
        <w:rPr>
          <w:rFonts w:eastAsia="Times New Roman"/>
        </w:rPr>
        <w:t xml:space="preserve">v. 4, no. 43, p. 1686, </w:t>
      </w:r>
      <w:hyperlink r:id="rId54" w:history="1">
        <w:r w:rsidR="002D2D02" w:rsidRPr="000D767C">
          <w:rPr>
            <w:rStyle w:val="Hyperlink"/>
            <w:rFonts w:eastAsia="Times New Roman"/>
          </w:rPr>
          <w:t>https://doi.org/10.21105/joss.01686</w:t>
        </w:r>
      </w:hyperlink>
      <w:r w:rsidRPr="000D767C">
        <w:rPr>
          <w:rFonts w:eastAsia="Times New Roman"/>
        </w:rPr>
        <w:t>.</w:t>
      </w:r>
    </w:p>
    <w:p w14:paraId="6B355024" w14:textId="77777777" w:rsidR="002D2D02" w:rsidRPr="007C31DA" w:rsidRDefault="002D2D02" w:rsidP="007C31DA">
      <w:pPr>
        <w:spacing w:after="120"/>
        <w:ind w:left="560" w:hanging="560"/>
      </w:pPr>
    </w:p>
    <w:p w14:paraId="1C4E3551" w14:textId="0277F2A3" w:rsidR="007C31DA" w:rsidRPr="00B505D3" w:rsidRDefault="007C31DA" w:rsidP="00B505D3">
      <w:pPr>
        <w:spacing w:after="80"/>
        <w:ind w:left="560" w:hanging="560"/>
      </w:pPr>
    </w:p>
    <w:p w14:paraId="65499A2A" w14:textId="77777777" w:rsidR="00B505D3" w:rsidRPr="00056EE4" w:rsidRDefault="00B505D3" w:rsidP="00E74068">
      <w:pPr>
        <w:pStyle w:val="Reference"/>
      </w:pPr>
    </w:p>
    <w:p w14:paraId="764BA867" w14:textId="63289ECF" w:rsidR="00DA6B7A" w:rsidRPr="00272FE1" w:rsidRDefault="00DA6B7A" w:rsidP="00DA6B7A">
      <w:pPr>
        <w:pStyle w:val="Reference"/>
      </w:pPr>
    </w:p>
    <w:sectPr w:rsidR="00DA6B7A" w:rsidRPr="00272FE1" w:rsidSect="003E3FFA">
      <w:footerReference w:type="default" r:id="rId5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AE0EF" w14:textId="77777777" w:rsidR="005E5FA0" w:rsidRDefault="005E5FA0" w:rsidP="006E5BF4">
      <w:pPr>
        <w:spacing w:after="0" w:line="240" w:lineRule="auto"/>
      </w:pPr>
      <w:r>
        <w:separator/>
      </w:r>
    </w:p>
    <w:p w14:paraId="52C4165A" w14:textId="77777777" w:rsidR="005E5FA0" w:rsidRDefault="005E5FA0"/>
    <w:p w14:paraId="479A5941" w14:textId="77777777" w:rsidR="005E5FA0" w:rsidRDefault="005E5FA0"/>
  </w:endnote>
  <w:endnote w:type="continuationSeparator" w:id="0">
    <w:p w14:paraId="60F5208D" w14:textId="77777777" w:rsidR="005E5FA0" w:rsidRDefault="005E5FA0" w:rsidP="006E5BF4">
      <w:pPr>
        <w:spacing w:after="0" w:line="240" w:lineRule="auto"/>
      </w:pPr>
      <w:r>
        <w:continuationSeparator/>
      </w:r>
    </w:p>
    <w:p w14:paraId="36EEA70D" w14:textId="77777777" w:rsidR="005E5FA0" w:rsidRDefault="005E5FA0"/>
    <w:p w14:paraId="7C8B71CA" w14:textId="77777777" w:rsidR="005E5FA0" w:rsidRDefault="005E5FA0"/>
  </w:endnote>
  <w:endnote w:type="continuationNotice" w:id="1">
    <w:p w14:paraId="6FDCE36D" w14:textId="77777777" w:rsidR="005E5FA0" w:rsidRDefault="005E5FA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altName w:val="Arial"/>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222933"/>
      <w:docPartObj>
        <w:docPartGallery w:val="Page Numbers (Bottom of Page)"/>
        <w:docPartUnique/>
      </w:docPartObj>
    </w:sdtPr>
    <w:sdtEndPr>
      <w:rPr>
        <w:noProof/>
      </w:rPr>
    </w:sdtEndPr>
    <w:sdtContent>
      <w:p w14:paraId="789A5936" w14:textId="77777777" w:rsidR="00B5798F" w:rsidRDefault="00B5798F">
        <w:pPr>
          <w:pStyle w:val="Footer"/>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FFE1A" w14:textId="77777777" w:rsidR="005E5FA0" w:rsidRDefault="005E5FA0" w:rsidP="00B41E6F">
      <w:pPr>
        <w:spacing w:after="0" w:line="240" w:lineRule="auto"/>
      </w:pPr>
      <w:r>
        <w:separator/>
      </w:r>
    </w:p>
  </w:footnote>
  <w:footnote w:type="continuationSeparator" w:id="0">
    <w:p w14:paraId="389D0854" w14:textId="77777777" w:rsidR="005E5FA0" w:rsidRDefault="005E5FA0" w:rsidP="006E5BF4">
      <w:pPr>
        <w:spacing w:after="0" w:line="240" w:lineRule="auto"/>
      </w:pPr>
      <w:r>
        <w:continuationSeparator/>
      </w:r>
    </w:p>
    <w:p w14:paraId="7B555701" w14:textId="77777777" w:rsidR="005E5FA0" w:rsidRDefault="005E5FA0"/>
    <w:p w14:paraId="13F7AF10" w14:textId="77777777" w:rsidR="005E5FA0" w:rsidRDefault="005E5FA0"/>
  </w:footnote>
  <w:footnote w:type="continuationNotice" w:id="1">
    <w:p w14:paraId="478269BA" w14:textId="77777777" w:rsidR="005E5FA0" w:rsidRDefault="005E5FA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E6FBC"/>
    <w:multiLevelType w:val="hybridMultilevel"/>
    <w:tmpl w:val="33825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16cid:durableId="145364658">
    <w:abstractNumId w:val="1"/>
  </w:num>
  <w:num w:numId="2" w16cid:durableId="22992610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9"/>
  <w:proofState w:spelling="clean" w:grammar="clean"/>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10F"/>
    <w:rsid w:val="00004621"/>
    <w:rsid w:val="00006750"/>
    <w:rsid w:val="000076ED"/>
    <w:rsid w:val="00015131"/>
    <w:rsid w:val="0001753B"/>
    <w:rsid w:val="0001776F"/>
    <w:rsid w:val="0002042E"/>
    <w:rsid w:val="00020C71"/>
    <w:rsid w:val="00022020"/>
    <w:rsid w:val="0002415D"/>
    <w:rsid w:val="000269AA"/>
    <w:rsid w:val="00030A5D"/>
    <w:rsid w:val="00032D8A"/>
    <w:rsid w:val="00033E32"/>
    <w:rsid w:val="00035A31"/>
    <w:rsid w:val="00037CC1"/>
    <w:rsid w:val="00041636"/>
    <w:rsid w:val="00041AAD"/>
    <w:rsid w:val="00041BA7"/>
    <w:rsid w:val="00046F85"/>
    <w:rsid w:val="00047EC2"/>
    <w:rsid w:val="00051439"/>
    <w:rsid w:val="00051CE3"/>
    <w:rsid w:val="00051F54"/>
    <w:rsid w:val="000558A5"/>
    <w:rsid w:val="00056789"/>
    <w:rsid w:val="0006275E"/>
    <w:rsid w:val="000633FA"/>
    <w:rsid w:val="00063709"/>
    <w:rsid w:val="000640EF"/>
    <w:rsid w:val="0006533A"/>
    <w:rsid w:val="00065379"/>
    <w:rsid w:val="00065618"/>
    <w:rsid w:val="000705F3"/>
    <w:rsid w:val="0007129E"/>
    <w:rsid w:val="00072B88"/>
    <w:rsid w:val="00072F96"/>
    <w:rsid w:val="000739AB"/>
    <w:rsid w:val="00073B82"/>
    <w:rsid w:val="00074954"/>
    <w:rsid w:val="00075A2F"/>
    <w:rsid w:val="00075D7F"/>
    <w:rsid w:val="00077CF2"/>
    <w:rsid w:val="000819A7"/>
    <w:rsid w:val="0008223D"/>
    <w:rsid w:val="0008476F"/>
    <w:rsid w:val="00087FCE"/>
    <w:rsid w:val="000921C7"/>
    <w:rsid w:val="00093CFD"/>
    <w:rsid w:val="00095375"/>
    <w:rsid w:val="00095922"/>
    <w:rsid w:val="00095E42"/>
    <w:rsid w:val="00096014"/>
    <w:rsid w:val="0009608F"/>
    <w:rsid w:val="00096D81"/>
    <w:rsid w:val="000976CC"/>
    <w:rsid w:val="000A0895"/>
    <w:rsid w:val="000A0AD8"/>
    <w:rsid w:val="000A1F1E"/>
    <w:rsid w:val="000A5F43"/>
    <w:rsid w:val="000B0917"/>
    <w:rsid w:val="000B43AC"/>
    <w:rsid w:val="000B50F7"/>
    <w:rsid w:val="000B51DF"/>
    <w:rsid w:val="000C350C"/>
    <w:rsid w:val="000C79D2"/>
    <w:rsid w:val="000D1398"/>
    <w:rsid w:val="000D21D7"/>
    <w:rsid w:val="000D2453"/>
    <w:rsid w:val="000D477D"/>
    <w:rsid w:val="000D47AC"/>
    <w:rsid w:val="000D767C"/>
    <w:rsid w:val="000D7939"/>
    <w:rsid w:val="000E02EB"/>
    <w:rsid w:val="000E2ADF"/>
    <w:rsid w:val="000E3E7B"/>
    <w:rsid w:val="000E4841"/>
    <w:rsid w:val="000E6E43"/>
    <w:rsid w:val="000E6EFA"/>
    <w:rsid w:val="000F0539"/>
    <w:rsid w:val="000F0DBA"/>
    <w:rsid w:val="000F15FC"/>
    <w:rsid w:val="000F26DB"/>
    <w:rsid w:val="000F3AEC"/>
    <w:rsid w:val="000F5A20"/>
    <w:rsid w:val="00100F7A"/>
    <w:rsid w:val="0010382A"/>
    <w:rsid w:val="001038CF"/>
    <w:rsid w:val="00105C7B"/>
    <w:rsid w:val="001063F2"/>
    <w:rsid w:val="00106750"/>
    <w:rsid w:val="00107804"/>
    <w:rsid w:val="00110F85"/>
    <w:rsid w:val="00111DEC"/>
    <w:rsid w:val="001124FF"/>
    <w:rsid w:val="0011411C"/>
    <w:rsid w:val="00114346"/>
    <w:rsid w:val="00114645"/>
    <w:rsid w:val="00117164"/>
    <w:rsid w:val="00125301"/>
    <w:rsid w:val="00125440"/>
    <w:rsid w:val="00125492"/>
    <w:rsid w:val="00125840"/>
    <w:rsid w:val="00125EA6"/>
    <w:rsid w:val="00126261"/>
    <w:rsid w:val="00127089"/>
    <w:rsid w:val="0012778C"/>
    <w:rsid w:val="00135A6A"/>
    <w:rsid w:val="00135C91"/>
    <w:rsid w:val="0013641D"/>
    <w:rsid w:val="0013689D"/>
    <w:rsid w:val="00137C3C"/>
    <w:rsid w:val="00140690"/>
    <w:rsid w:val="001414B1"/>
    <w:rsid w:val="00142250"/>
    <w:rsid w:val="00143020"/>
    <w:rsid w:val="001444FF"/>
    <w:rsid w:val="001450AB"/>
    <w:rsid w:val="001465B7"/>
    <w:rsid w:val="001470B5"/>
    <w:rsid w:val="001524E4"/>
    <w:rsid w:val="00154960"/>
    <w:rsid w:val="0016054C"/>
    <w:rsid w:val="00162C90"/>
    <w:rsid w:val="00165D44"/>
    <w:rsid w:val="00165FE7"/>
    <w:rsid w:val="001716E7"/>
    <w:rsid w:val="00172D37"/>
    <w:rsid w:val="0017337F"/>
    <w:rsid w:val="00174753"/>
    <w:rsid w:val="00174B81"/>
    <w:rsid w:val="0017565D"/>
    <w:rsid w:val="00175FA0"/>
    <w:rsid w:val="0017690B"/>
    <w:rsid w:val="00180F04"/>
    <w:rsid w:val="00182DC3"/>
    <w:rsid w:val="00183B69"/>
    <w:rsid w:val="00185249"/>
    <w:rsid w:val="00186D14"/>
    <w:rsid w:val="001930A7"/>
    <w:rsid w:val="00193CA3"/>
    <w:rsid w:val="00194EAC"/>
    <w:rsid w:val="001A0774"/>
    <w:rsid w:val="001A07BF"/>
    <w:rsid w:val="001A0906"/>
    <w:rsid w:val="001A0E43"/>
    <w:rsid w:val="001A179E"/>
    <w:rsid w:val="001A1B84"/>
    <w:rsid w:val="001A1E56"/>
    <w:rsid w:val="001A52AE"/>
    <w:rsid w:val="001B1E01"/>
    <w:rsid w:val="001B2F28"/>
    <w:rsid w:val="001B5653"/>
    <w:rsid w:val="001C0D1F"/>
    <w:rsid w:val="001C19CA"/>
    <w:rsid w:val="001C3A08"/>
    <w:rsid w:val="001C3C18"/>
    <w:rsid w:val="001C428F"/>
    <w:rsid w:val="001C66BF"/>
    <w:rsid w:val="001C6732"/>
    <w:rsid w:val="001C7E6F"/>
    <w:rsid w:val="001D0A0F"/>
    <w:rsid w:val="001D49D7"/>
    <w:rsid w:val="001D585D"/>
    <w:rsid w:val="001D5982"/>
    <w:rsid w:val="001D6AED"/>
    <w:rsid w:val="001D6CCA"/>
    <w:rsid w:val="001E0476"/>
    <w:rsid w:val="001E08CB"/>
    <w:rsid w:val="001E183F"/>
    <w:rsid w:val="001E1BA3"/>
    <w:rsid w:val="001E29C5"/>
    <w:rsid w:val="001E2E12"/>
    <w:rsid w:val="001E5FE7"/>
    <w:rsid w:val="001E6AF6"/>
    <w:rsid w:val="001E6C73"/>
    <w:rsid w:val="001E7DDB"/>
    <w:rsid w:val="001F0C17"/>
    <w:rsid w:val="001F0D89"/>
    <w:rsid w:val="001F1383"/>
    <w:rsid w:val="001F2EA3"/>
    <w:rsid w:val="001F3EE4"/>
    <w:rsid w:val="001F48D8"/>
    <w:rsid w:val="001F60EA"/>
    <w:rsid w:val="001F7090"/>
    <w:rsid w:val="001F7C5C"/>
    <w:rsid w:val="00203691"/>
    <w:rsid w:val="00203CB3"/>
    <w:rsid w:val="002045DD"/>
    <w:rsid w:val="00205CBF"/>
    <w:rsid w:val="00210B55"/>
    <w:rsid w:val="002117F8"/>
    <w:rsid w:val="00211C65"/>
    <w:rsid w:val="00213708"/>
    <w:rsid w:val="00213DD3"/>
    <w:rsid w:val="0021507E"/>
    <w:rsid w:val="002151D1"/>
    <w:rsid w:val="00217D8F"/>
    <w:rsid w:val="00223414"/>
    <w:rsid w:val="00226511"/>
    <w:rsid w:val="00226D47"/>
    <w:rsid w:val="00233A07"/>
    <w:rsid w:val="00234AEF"/>
    <w:rsid w:val="00235035"/>
    <w:rsid w:val="00235BC6"/>
    <w:rsid w:val="00235DF8"/>
    <w:rsid w:val="002361BF"/>
    <w:rsid w:val="002409BA"/>
    <w:rsid w:val="00242666"/>
    <w:rsid w:val="00242E09"/>
    <w:rsid w:val="00242F97"/>
    <w:rsid w:val="002437AB"/>
    <w:rsid w:val="00244695"/>
    <w:rsid w:val="00250E4D"/>
    <w:rsid w:val="00250EE3"/>
    <w:rsid w:val="00252367"/>
    <w:rsid w:val="002538D3"/>
    <w:rsid w:val="002565BA"/>
    <w:rsid w:val="002629E6"/>
    <w:rsid w:val="002658ED"/>
    <w:rsid w:val="002679E2"/>
    <w:rsid w:val="00270424"/>
    <w:rsid w:val="00270CEE"/>
    <w:rsid w:val="00271056"/>
    <w:rsid w:val="0027116A"/>
    <w:rsid w:val="00271337"/>
    <w:rsid w:val="00272FE1"/>
    <w:rsid w:val="002747C8"/>
    <w:rsid w:val="002762F1"/>
    <w:rsid w:val="00277557"/>
    <w:rsid w:val="00277790"/>
    <w:rsid w:val="002821A0"/>
    <w:rsid w:val="00282818"/>
    <w:rsid w:val="00282B63"/>
    <w:rsid w:val="00284DCA"/>
    <w:rsid w:val="00286111"/>
    <w:rsid w:val="00286781"/>
    <w:rsid w:val="00287933"/>
    <w:rsid w:val="002909E3"/>
    <w:rsid w:val="00291ACE"/>
    <w:rsid w:val="00291FE5"/>
    <w:rsid w:val="00292D33"/>
    <w:rsid w:val="00293FF0"/>
    <w:rsid w:val="0029672F"/>
    <w:rsid w:val="00297C59"/>
    <w:rsid w:val="00297D52"/>
    <w:rsid w:val="002A178E"/>
    <w:rsid w:val="002A1863"/>
    <w:rsid w:val="002A3F04"/>
    <w:rsid w:val="002A5963"/>
    <w:rsid w:val="002B12ED"/>
    <w:rsid w:val="002B1993"/>
    <w:rsid w:val="002B4951"/>
    <w:rsid w:val="002B559B"/>
    <w:rsid w:val="002B66B8"/>
    <w:rsid w:val="002B6BEE"/>
    <w:rsid w:val="002B7544"/>
    <w:rsid w:val="002C194B"/>
    <w:rsid w:val="002C1CA4"/>
    <w:rsid w:val="002C2B93"/>
    <w:rsid w:val="002C33DA"/>
    <w:rsid w:val="002C3C3E"/>
    <w:rsid w:val="002C46FC"/>
    <w:rsid w:val="002C4980"/>
    <w:rsid w:val="002C5FA9"/>
    <w:rsid w:val="002C61D3"/>
    <w:rsid w:val="002C6D3E"/>
    <w:rsid w:val="002C6D8A"/>
    <w:rsid w:val="002C7065"/>
    <w:rsid w:val="002D092F"/>
    <w:rsid w:val="002D2372"/>
    <w:rsid w:val="002D2D02"/>
    <w:rsid w:val="002D5146"/>
    <w:rsid w:val="002D78AC"/>
    <w:rsid w:val="002E02C6"/>
    <w:rsid w:val="002E22F7"/>
    <w:rsid w:val="002E2E3D"/>
    <w:rsid w:val="002E3C43"/>
    <w:rsid w:val="002E4346"/>
    <w:rsid w:val="002E477C"/>
    <w:rsid w:val="002F3AF6"/>
    <w:rsid w:val="002F4C0E"/>
    <w:rsid w:val="002F7724"/>
    <w:rsid w:val="00300310"/>
    <w:rsid w:val="0030043D"/>
    <w:rsid w:val="00300EDA"/>
    <w:rsid w:val="00301ADA"/>
    <w:rsid w:val="00302A26"/>
    <w:rsid w:val="003047CC"/>
    <w:rsid w:val="0030652C"/>
    <w:rsid w:val="0031210C"/>
    <w:rsid w:val="003153D2"/>
    <w:rsid w:val="00317114"/>
    <w:rsid w:val="00325AB3"/>
    <w:rsid w:val="00325C69"/>
    <w:rsid w:val="00325E7E"/>
    <w:rsid w:val="00327479"/>
    <w:rsid w:val="00327A7C"/>
    <w:rsid w:val="003332B6"/>
    <w:rsid w:val="00333EAC"/>
    <w:rsid w:val="00335EAF"/>
    <w:rsid w:val="003365A4"/>
    <w:rsid w:val="00337D42"/>
    <w:rsid w:val="00340E06"/>
    <w:rsid w:val="00342914"/>
    <w:rsid w:val="00343582"/>
    <w:rsid w:val="0034363B"/>
    <w:rsid w:val="00343F10"/>
    <w:rsid w:val="00344036"/>
    <w:rsid w:val="003446EF"/>
    <w:rsid w:val="00357ACC"/>
    <w:rsid w:val="003623ED"/>
    <w:rsid w:val="00365D4D"/>
    <w:rsid w:val="0036681B"/>
    <w:rsid w:val="00367B18"/>
    <w:rsid w:val="00370191"/>
    <w:rsid w:val="00375189"/>
    <w:rsid w:val="00375B8B"/>
    <w:rsid w:val="00377520"/>
    <w:rsid w:val="00377C23"/>
    <w:rsid w:val="00380016"/>
    <w:rsid w:val="00381CC1"/>
    <w:rsid w:val="00385122"/>
    <w:rsid w:val="00387787"/>
    <w:rsid w:val="003902D6"/>
    <w:rsid w:val="00390FFE"/>
    <w:rsid w:val="00394A52"/>
    <w:rsid w:val="00395172"/>
    <w:rsid w:val="003951A8"/>
    <w:rsid w:val="003A6BDE"/>
    <w:rsid w:val="003A6DAA"/>
    <w:rsid w:val="003A71E6"/>
    <w:rsid w:val="003A78F1"/>
    <w:rsid w:val="003A7907"/>
    <w:rsid w:val="003B1806"/>
    <w:rsid w:val="003B232F"/>
    <w:rsid w:val="003B2870"/>
    <w:rsid w:val="003B3F68"/>
    <w:rsid w:val="003B4B0A"/>
    <w:rsid w:val="003B4EA0"/>
    <w:rsid w:val="003B581A"/>
    <w:rsid w:val="003B59D5"/>
    <w:rsid w:val="003B66D2"/>
    <w:rsid w:val="003C0674"/>
    <w:rsid w:val="003C1AB5"/>
    <w:rsid w:val="003C1FB4"/>
    <w:rsid w:val="003C235E"/>
    <w:rsid w:val="003C2B88"/>
    <w:rsid w:val="003C35AC"/>
    <w:rsid w:val="003C3C81"/>
    <w:rsid w:val="003C4332"/>
    <w:rsid w:val="003C4BBD"/>
    <w:rsid w:val="003C73F0"/>
    <w:rsid w:val="003C7607"/>
    <w:rsid w:val="003C7D1B"/>
    <w:rsid w:val="003D0008"/>
    <w:rsid w:val="003D1273"/>
    <w:rsid w:val="003D25B1"/>
    <w:rsid w:val="003D2B56"/>
    <w:rsid w:val="003D2D9E"/>
    <w:rsid w:val="003D5338"/>
    <w:rsid w:val="003D6BFB"/>
    <w:rsid w:val="003D6F5C"/>
    <w:rsid w:val="003D7907"/>
    <w:rsid w:val="003E0013"/>
    <w:rsid w:val="003E0AE2"/>
    <w:rsid w:val="003E3271"/>
    <w:rsid w:val="003E3A32"/>
    <w:rsid w:val="003E3FFA"/>
    <w:rsid w:val="003E64AE"/>
    <w:rsid w:val="003F045D"/>
    <w:rsid w:val="003F04DF"/>
    <w:rsid w:val="003F44CA"/>
    <w:rsid w:val="003F6628"/>
    <w:rsid w:val="003F7190"/>
    <w:rsid w:val="00400B2B"/>
    <w:rsid w:val="00402C2E"/>
    <w:rsid w:val="00403771"/>
    <w:rsid w:val="00403E2B"/>
    <w:rsid w:val="00407A12"/>
    <w:rsid w:val="00410530"/>
    <w:rsid w:val="00412919"/>
    <w:rsid w:val="00414447"/>
    <w:rsid w:val="004170D8"/>
    <w:rsid w:val="004232C8"/>
    <w:rsid w:val="00423302"/>
    <w:rsid w:val="00423AEE"/>
    <w:rsid w:val="00430510"/>
    <w:rsid w:val="00431F99"/>
    <w:rsid w:val="00432199"/>
    <w:rsid w:val="0043322E"/>
    <w:rsid w:val="004432A4"/>
    <w:rsid w:val="00445213"/>
    <w:rsid w:val="00445579"/>
    <w:rsid w:val="00445DA1"/>
    <w:rsid w:val="00450AC2"/>
    <w:rsid w:val="00452E77"/>
    <w:rsid w:val="00454C65"/>
    <w:rsid w:val="00456102"/>
    <w:rsid w:val="0045789F"/>
    <w:rsid w:val="00461407"/>
    <w:rsid w:val="00463992"/>
    <w:rsid w:val="004668A3"/>
    <w:rsid w:val="004678D6"/>
    <w:rsid w:val="00470158"/>
    <w:rsid w:val="00470A75"/>
    <w:rsid w:val="00471064"/>
    <w:rsid w:val="0047269A"/>
    <w:rsid w:val="00474337"/>
    <w:rsid w:val="00476EEE"/>
    <w:rsid w:val="00477D56"/>
    <w:rsid w:val="00481377"/>
    <w:rsid w:val="00481CC4"/>
    <w:rsid w:val="00481D46"/>
    <w:rsid w:val="00482603"/>
    <w:rsid w:val="004829B2"/>
    <w:rsid w:val="00483C49"/>
    <w:rsid w:val="0048606F"/>
    <w:rsid w:val="00486AFD"/>
    <w:rsid w:val="004973A7"/>
    <w:rsid w:val="004A198D"/>
    <w:rsid w:val="004A3490"/>
    <w:rsid w:val="004A3B69"/>
    <w:rsid w:val="004A4863"/>
    <w:rsid w:val="004A53F3"/>
    <w:rsid w:val="004B4D1D"/>
    <w:rsid w:val="004B5462"/>
    <w:rsid w:val="004B5C0D"/>
    <w:rsid w:val="004B6DD1"/>
    <w:rsid w:val="004B76EE"/>
    <w:rsid w:val="004B78F0"/>
    <w:rsid w:val="004C0AA5"/>
    <w:rsid w:val="004C1608"/>
    <w:rsid w:val="004C1F4A"/>
    <w:rsid w:val="004C27B7"/>
    <w:rsid w:val="004C34A8"/>
    <w:rsid w:val="004C3818"/>
    <w:rsid w:val="004C4CAF"/>
    <w:rsid w:val="004C6D2F"/>
    <w:rsid w:val="004C731D"/>
    <w:rsid w:val="004D0004"/>
    <w:rsid w:val="004D13C7"/>
    <w:rsid w:val="004D6334"/>
    <w:rsid w:val="004E00E5"/>
    <w:rsid w:val="004E0A0D"/>
    <w:rsid w:val="004E0F6B"/>
    <w:rsid w:val="004E11D0"/>
    <w:rsid w:val="004E2EF1"/>
    <w:rsid w:val="004E4661"/>
    <w:rsid w:val="004E5554"/>
    <w:rsid w:val="004E7088"/>
    <w:rsid w:val="004E775B"/>
    <w:rsid w:val="004F1440"/>
    <w:rsid w:val="004F43AE"/>
    <w:rsid w:val="004F4C5A"/>
    <w:rsid w:val="004F4D44"/>
    <w:rsid w:val="004F5A49"/>
    <w:rsid w:val="004F6A06"/>
    <w:rsid w:val="00500BF1"/>
    <w:rsid w:val="005030CE"/>
    <w:rsid w:val="00503E5D"/>
    <w:rsid w:val="0050509C"/>
    <w:rsid w:val="00505A67"/>
    <w:rsid w:val="00514922"/>
    <w:rsid w:val="00514EFC"/>
    <w:rsid w:val="00515FD6"/>
    <w:rsid w:val="0051608E"/>
    <w:rsid w:val="00516A52"/>
    <w:rsid w:val="00523081"/>
    <w:rsid w:val="00530278"/>
    <w:rsid w:val="005316A7"/>
    <w:rsid w:val="005324B6"/>
    <w:rsid w:val="00533E54"/>
    <w:rsid w:val="00534ED7"/>
    <w:rsid w:val="00537A2C"/>
    <w:rsid w:val="00540D88"/>
    <w:rsid w:val="00541983"/>
    <w:rsid w:val="00542D5F"/>
    <w:rsid w:val="00544B11"/>
    <w:rsid w:val="005450D4"/>
    <w:rsid w:val="00546187"/>
    <w:rsid w:val="0054623F"/>
    <w:rsid w:val="00547601"/>
    <w:rsid w:val="0055272E"/>
    <w:rsid w:val="00553421"/>
    <w:rsid w:val="005534B4"/>
    <w:rsid w:val="0055582E"/>
    <w:rsid w:val="00555987"/>
    <w:rsid w:val="0055689D"/>
    <w:rsid w:val="00573345"/>
    <w:rsid w:val="005733B5"/>
    <w:rsid w:val="005756D8"/>
    <w:rsid w:val="00580709"/>
    <w:rsid w:val="00583AF4"/>
    <w:rsid w:val="005852EC"/>
    <w:rsid w:val="00585D57"/>
    <w:rsid w:val="0058605D"/>
    <w:rsid w:val="00587DCD"/>
    <w:rsid w:val="00590AC0"/>
    <w:rsid w:val="00590B55"/>
    <w:rsid w:val="00597EF2"/>
    <w:rsid w:val="00597FC6"/>
    <w:rsid w:val="005A0184"/>
    <w:rsid w:val="005A3B01"/>
    <w:rsid w:val="005A416B"/>
    <w:rsid w:val="005A47A8"/>
    <w:rsid w:val="005A530B"/>
    <w:rsid w:val="005B40AF"/>
    <w:rsid w:val="005B77EE"/>
    <w:rsid w:val="005C0FE8"/>
    <w:rsid w:val="005C1BF4"/>
    <w:rsid w:val="005C2FAD"/>
    <w:rsid w:val="005C4BA7"/>
    <w:rsid w:val="005C598B"/>
    <w:rsid w:val="005D0CBE"/>
    <w:rsid w:val="005D0F7E"/>
    <w:rsid w:val="005D12D4"/>
    <w:rsid w:val="005D1FC7"/>
    <w:rsid w:val="005D2508"/>
    <w:rsid w:val="005E3AB3"/>
    <w:rsid w:val="005E3EBD"/>
    <w:rsid w:val="005E4B7D"/>
    <w:rsid w:val="005E5EB9"/>
    <w:rsid w:val="005E5FA0"/>
    <w:rsid w:val="005E7268"/>
    <w:rsid w:val="005F020B"/>
    <w:rsid w:val="005F1E0E"/>
    <w:rsid w:val="005F1E32"/>
    <w:rsid w:val="005F3548"/>
    <w:rsid w:val="005F40A7"/>
    <w:rsid w:val="005F494C"/>
    <w:rsid w:val="005F7775"/>
    <w:rsid w:val="00602865"/>
    <w:rsid w:val="00606909"/>
    <w:rsid w:val="00606B7B"/>
    <w:rsid w:val="0061140A"/>
    <w:rsid w:val="006117BA"/>
    <w:rsid w:val="00612620"/>
    <w:rsid w:val="006132C8"/>
    <w:rsid w:val="0061402A"/>
    <w:rsid w:val="006152E2"/>
    <w:rsid w:val="0061734E"/>
    <w:rsid w:val="006173B3"/>
    <w:rsid w:val="006176CA"/>
    <w:rsid w:val="00621766"/>
    <w:rsid w:val="00624871"/>
    <w:rsid w:val="0062687C"/>
    <w:rsid w:val="00627205"/>
    <w:rsid w:val="0063064A"/>
    <w:rsid w:val="006317A2"/>
    <w:rsid w:val="006336CD"/>
    <w:rsid w:val="00637C5E"/>
    <w:rsid w:val="00641F77"/>
    <w:rsid w:val="0064200A"/>
    <w:rsid w:val="00642AEF"/>
    <w:rsid w:val="00644D11"/>
    <w:rsid w:val="0064549F"/>
    <w:rsid w:val="0064718D"/>
    <w:rsid w:val="00647D32"/>
    <w:rsid w:val="00647E4D"/>
    <w:rsid w:val="0065053A"/>
    <w:rsid w:val="006506B0"/>
    <w:rsid w:val="0065127C"/>
    <w:rsid w:val="006608A9"/>
    <w:rsid w:val="00660F3D"/>
    <w:rsid w:val="006623C4"/>
    <w:rsid w:val="0066466E"/>
    <w:rsid w:val="0066654A"/>
    <w:rsid w:val="006667EA"/>
    <w:rsid w:val="0066782A"/>
    <w:rsid w:val="00667AF6"/>
    <w:rsid w:val="00672C0E"/>
    <w:rsid w:val="006765A9"/>
    <w:rsid w:val="006768FF"/>
    <w:rsid w:val="00680855"/>
    <w:rsid w:val="00680901"/>
    <w:rsid w:val="00680A00"/>
    <w:rsid w:val="00680E86"/>
    <w:rsid w:val="00681D2F"/>
    <w:rsid w:val="0068372F"/>
    <w:rsid w:val="0069299A"/>
    <w:rsid w:val="006932F3"/>
    <w:rsid w:val="006938C4"/>
    <w:rsid w:val="006941D0"/>
    <w:rsid w:val="00694411"/>
    <w:rsid w:val="006957C1"/>
    <w:rsid w:val="006A0EE8"/>
    <w:rsid w:val="006A110F"/>
    <w:rsid w:val="006A40BD"/>
    <w:rsid w:val="006A4906"/>
    <w:rsid w:val="006A5A4C"/>
    <w:rsid w:val="006A6B89"/>
    <w:rsid w:val="006B067B"/>
    <w:rsid w:val="006B0695"/>
    <w:rsid w:val="006B2A59"/>
    <w:rsid w:val="006B2F55"/>
    <w:rsid w:val="006B3CF6"/>
    <w:rsid w:val="006B6056"/>
    <w:rsid w:val="006B728C"/>
    <w:rsid w:val="006C080F"/>
    <w:rsid w:val="006C0885"/>
    <w:rsid w:val="006C154B"/>
    <w:rsid w:val="006C1778"/>
    <w:rsid w:val="006C3CFD"/>
    <w:rsid w:val="006C3D57"/>
    <w:rsid w:val="006C615C"/>
    <w:rsid w:val="006C7FBF"/>
    <w:rsid w:val="006D22C5"/>
    <w:rsid w:val="006D2794"/>
    <w:rsid w:val="006D5C16"/>
    <w:rsid w:val="006D7252"/>
    <w:rsid w:val="006E0FE8"/>
    <w:rsid w:val="006E1EA2"/>
    <w:rsid w:val="006E2749"/>
    <w:rsid w:val="006E3116"/>
    <w:rsid w:val="006E32DA"/>
    <w:rsid w:val="006E3343"/>
    <w:rsid w:val="006E3D0C"/>
    <w:rsid w:val="006E42E6"/>
    <w:rsid w:val="006E554A"/>
    <w:rsid w:val="006E5BF4"/>
    <w:rsid w:val="006E6554"/>
    <w:rsid w:val="006F0737"/>
    <w:rsid w:val="006F237E"/>
    <w:rsid w:val="0070050B"/>
    <w:rsid w:val="0070158B"/>
    <w:rsid w:val="00703BC8"/>
    <w:rsid w:val="00704D3D"/>
    <w:rsid w:val="00705240"/>
    <w:rsid w:val="007064C2"/>
    <w:rsid w:val="00710451"/>
    <w:rsid w:val="00711525"/>
    <w:rsid w:val="00712B5C"/>
    <w:rsid w:val="00713055"/>
    <w:rsid w:val="00713C2A"/>
    <w:rsid w:val="00713F93"/>
    <w:rsid w:val="0071575F"/>
    <w:rsid w:val="00717410"/>
    <w:rsid w:val="007207B0"/>
    <w:rsid w:val="0072100F"/>
    <w:rsid w:val="00723E6A"/>
    <w:rsid w:val="00723E93"/>
    <w:rsid w:val="00725834"/>
    <w:rsid w:val="0072650B"/>
    <w:rsid w:val="00726AFB"/>
    <w:rsid w:val="007270CD"/>
    <w:rsid w:val="007310D9"/>
    <w:rsid w:val="007333C6"/>
    <w:rsid w:val="00733411"/>
    <w:rsid w:val="00734C1B"/>
    <w:rsid w:val="00734EA9"/>
    <w:rsid w:val="00735EFA"/>
    <w:rsid w:val="007406E3"/>
    <w:rsid w:val="007415E7"/>
    <w:rsid w:val="007418E1"/>
    <w:rsid w:val="00743439"/>
    <w:rsid w:val="00743CC4"/>
    <w:rsid w:val="00745014"/>
    <w:rsid w:val="007450A0"/>
    <w:rsid w:val="007452C8"/>
    <w:rsid w:val="00746311"/>
    <w:rsid w:val="00746643"/>
    <w:rsid w:val="007505CD"/>
    <w:rsid w:val="00750F01"/>
    <w:rsid w:val="00752D73"/>
    <w:rsid w:val="00753517"/>
    <w:rsid w:val="007536A1"/>
    <w:rsid w:val="00753A36"/>
    <w:rsid w:val="00754FB5"/>
    <w:rsid w:val="007573FA"/>
    <w:rsid w:val="00757ADE"/>
    <w:rsid w:val="00762DD8"/>
    <w:rsid w:val="0076455F"/>
    <w:rsid w:val="007665C2"/>
    <w:rsid w:val="00772210"/>
    <w:rsid w:val="007740DC"/>
    <w:rsid w:val="0077651C"/>
    <w:rsid w:val="00776609"/>
    <w:rsid w:val="00776B75"/>
    <w:rsid w:val="00777995"/>
    <w:rsid w:val="00783566"/>
    <w:rsid w:val="00784A42"/>
    <w:rsid w:val="00785F4A"/>
    <w:rsid w:val="00787797"/>
    <w:rsid w:val="007916E4"/>
    <w:rsid w:val="007917B1"/>
    <w:rsid w:val="00796620"/>
    <w:rsid w:val="007A0DDD"/>
    <w:rsid w:val="007A16A5"/>
    <w:rsid w:val="007A581C"/>
    <w:rsid w:val="007A6540"/>
    <w:rsid w:val="007A7074"/>
    <w:rsid w:val="007A7CE6"/>
    <w:rsid w:val="007A7E50"/>
    <w:rsid w:val="007B10FC"/>
    <w:rsid w:val="007B3BAF"/>
    <w:rsid w:val="007B6174"/>
    <w:rsid w:val="007B700D"/>
    <w:rsid w:val="007C025F"/>
    <w:rsid w:val="007C31DA"/>
    <w:rsid w:val="007C37CD"/>
    <w:rsid w:val="007C50C6"/>
    <w:rsid w:val="007C5B27"/>
    <w:rsid w:val="007C6358"/>
    <w:rsid w:val="007C691B"/>
    <w:rsid w:val="007C7772"/>
    <w:rsid w:val="007D200C"/>
    <w:rsid w:val="007D254A"/>
    <w:rsid w:val="007D34F3"/>
    <w:rsid w:val="007D4B92"/>
    <w:rsid w:val="007D7049"/>
    <w:rsid w:val="007D7E00"/>
    <w:rsid w:val="007E02C3"/>
    <w:rsid w:val="007E1F6E"/>
    <w:rsid w:val="007E4D97"/>
    <w:rsid w:val="007E4DB7"/>
    <w:rsid w:val="007E52B6"/>
    <w:rsid w:val="007F018F"/>
    <w:rsid w:val="007F1B19"/>
    <w:rsid w:val="007F2C8D"/>
    <w:rsid w:val="007F54F7"/>
    <w:rsid w:val="00802909"/>
    <w:rsid w:val="00804C6A"/>
    <w:rsid w:val="00804EEF"/>
    <w:rsid w:val="00805107"/>
    <w:rsid w:val="008062C0"/>
    <w:rsid w:val="00806572"/>
    <w:rsid w:val="00806F81"/>
    <w:rsid w:val="00807649"/>
    <w:rsid w:val="00810578"/>
    <w:rsid w:val="008120F7"/>
    <w:rsid w:val="0081293E"/>
    <w:rsid w:val="00814A66"/>
    <w:rsid w:val="00816C8B"/>
    <w:rsid w:val="00817D3D"/>
    <w:rsid w:val="00820913"/>
    <w:rsid w:val="00821356"/>
    <w:rsid w:val="00822058"/>
    <w:rsid w:val="0082397F"/>
    <w:rsid w:val="00824BB2"/>
    <w:rsid w:val="00826585"/>
    <w:rsid w:val="008272F8"/>
    <w:rsid w:val="00827D54"/>
    <w:rsid w:val="00827FF2"/>
    <w:rsid w:val="00830E0D"/>
    <w:rsid w:val="00830EA7"/>
    <w:rsid w:val="00830F1E"/>
    <w:rsid w:val="008374DE"/>
    <w:rsid w:val="00840C50"/>
    <w:rsid w:val="008415FF"/>
    <w:rsid w:val="008418D4"/>
    <w:rsid w:val="00842312"/>
    <w:rsid w:val="00843963"/>
    <w:rsid w:val="00843B77"/>
    <w:rsid w:val="008459FA"/>
    <w:rsid w:val="008464A9"/>
    <w:rsid w:val="008465E7"/>
    <w:rsid w:val="00846C44"/>
    <w:rsid w:val="0084752E"/>
    <w:rsid w:val="00850710"/>
    <w:rsid w:val="008509B7"/>
    <w:rsid w:val="00851B23"/>
    <w:rsid w:val="00852206"/>
    <w:rsid w:val="00852306"/>
    <w:rsid w:val="0085536E"/>
    <w:rsid w:val="008554C5"/>
    <w:rsid w:val="008573E9"/>
    <w:rsid w:val="00857DF2"/>
    <w:rsid w:val="00860801"/>
    <w:rsid w:val="00860A62"/>
    <w:rsid w:val="00860BB0"/>
    <w:rsid w:val="00862A44"/>
    <w:rsid w:val="008647FD"/>
    <w:rsid w:val="0086621E"/>
    <w:rsid w:val="00867336"/>
    <w:rsid w:val="008673B5"/>
    <w:rsid w:val="00867D43"/>
    <w:rsid w:val="00870D7F"/>
    <w:rsid w:val="00872D44"/>
    <w:rsid w:val="00876072"/>
    <w:rsid w:val="00876363"/>
    <w:rsid w:val="00877383"/>
    <w:rsid w:val="00877ED6"/>
    <w:rsid w:val="008814D2"/>
    <w:rsid w:val="00884668"/>
    <w:rsid w:val="00884855"/>
    <w:rsid w:val="0088608E"/>
    <w:rsid w:val="00886A97"/>
    <w:rsid w:val="0088723C"/>
    <w:rsid w:val="0089028C"/>
    <w:rsid w:val="00890C88"/>
    <w:rsid w:val="00890D60"/>
    <w:rsid w:val="00891C7F"/>
    <w:rsid w:val="0089219F"/>
    <w:rsid w:val="00895BC6"/>
    <w:rsid w:val="00896C2F"/>
    <w:rsid w:val="008975EE"/>
    <w:rsid w:val="008A0322"/>
    <w:rsid w:val="008A0759"/>
    <w:rsid w:val="008A0E9D"/>
    <w:rsid w:val="008A365A"/>
    <w:rsid w:val="008A3F98"/>
    <w:rsid w:val="008A7BA9"/>
    <w:rsid w:val="008A7F3B"/>
    <w:rsid w:val="008B3A06"/>
    <w:rsid w:val="008B5910"/>
    <w:rsid w:val="008B5AE9"/>
    <w:rsid w:val="008B645D"/>
    <w:rsid w:val="008B649B"/>
    <w:rsid w:val="008B7C38"/>
    <w:rsid w:val="008C00BA"/>
    <w:rsid w:val="008C2657"/>
    <w:rsid w:val="008C2C65"/>
    <w:rsid w:val="008C3577"/>
    <w:rsid w:val="008C4EA0"/>
    <w:rsid w:val="008C5BE6"/>
    <w:rsid w:val="008D0B09"/>
    <w:rsid w:val="008D2D5E"/>
    <w:rsid w:val="008D3661"/>
    <w:rsid w:val="008D3ECC"/>
    <w:rsid w:val="008D5AF6"/>
    <w:rsid w:val="008D6021"/>
    <w:rsid w:val="008D63BE"/>
    <w:rsid w:val="008E0ED0"/>
    <w:rsid w:val="008E17C0"/>
    <w:rsid w:val="008E1D2A"/>
    <w:rsid w:val="008E509B"/>
    <w:rsid w:val="008E5113"/>
    <w:rsid w:val="008E56EA"/>
    <w:rsid w:val="008E7F5C"/>
    <w:rsid w:val="008F04FA"/>
    <w:rsid w:val="008F4CF1"/>
    <w:rsid w:val="008F6714"/>
    <w:rsid w:val="008F6D93"/>
    <w:rsid w:val="009002F0"/>
    <w:rsid w:val="00900722"/>
    <w:rsid w:val="009013AF"/>
    <w:rsid w:val="00901B77"/>
    <w:rsid w:val="00904DF7"/>
    <w:rsid w:val="009053EA"/>
    <w:rsid w:val="00905A4B"/>
    <w:rsid w:val="0090743B"/>
    <w:rsid w:val="00912A03"/>
    <w:rsid w:val="00914878"/>
    <w:rsid w:val="00914B77"/>
    <w:rsid w:val="00914FBD"/>
    <w:rsid w:val="009178AB"/>
    <w:rsid w:val="009244FD"/>
    <w:rsid w:val="00924BC6"/>
    <w:rsid w:val="00925E9B"/>
    <w:rsid w:val="00927839"/>
    <w:rsid w:val="00927A8E"/>
    <w:rsid w:val="00930B58"/>
    <w:rsid w:val="00935EAD"/>
    <w:rsid w:val="00942893"/>
    <w:rsid w:val="00944958"/>
    <w:rsid w:val="00944C61"/>
    <w:rsid w:val="0094538A"/>
    <w:rsid w:val="00947B4B"/>
    <w:rsid w:val="00951CEA"/>
    <w:rsid w:val="00951E00"/>
    <w:rsid w:val="00952D17"/>
    <w:rsid w:val="0095322D"/>
    <w:rsid w:val="0095471E"/>
    <w:rsid w:val="00956C23"/>
    <w:rsid w:val="00956C69"/>
    <w:rsid w:val="009600B7"/>
    <w:rsid w:val="00960141"/>
    <w:rsid w:val="00960FBE"/>
    <w:rsid w:val="0096164E"/>
    <w:rsid w:val="009616D6"/>
    <w:rsid w:val="00963148"/>
    <w:rsid w:val="00963694"/>
    <w:rsid w:val="009655BD"/>
    <w:rsid w:val="00967145"/>
    <w:rsid w:val="009704C5"/>
    <w:rsid w:val="009716CD"/>
    <w:rsid w:val="00972156"/>
    <w:rsid w:val="009735D4"/>
    <w:rsid w:val="0097382E"/>
    <w:rsid w:val="00975605"/>
    <w:rsid w:val="00975777"/>
    <w:rsid w:val="00976D0E"/>
    <w:rsid w:val="00981E0B"/>
    <w:rsid w:val="00982E09"/>
    <w:rsid w:val="009849A8"/>
    <w:rsid w:val="00986160"/>
    <w:rsid w:val="00990C78"/>
    <w:rsid w:val="009917BF"/>
    <w:rsid w:val="009917D1"/>
    <w:rsid w:val="0099270A"/>
    <w:rsid w:val="00993E14"/>
    <w:rsid w:val="00995756"/>
    <w:rsid w:val="0099585C"/>
    <w:rsid w:val="0099585F"/>
    <w:rsid w:val="0099621C"/>
    <w:rsid w:val="009962C4"/>
    <w:rsid w:val="00996AC9"/>
    <w:rsid w:val="009A0A67"/>
    <w:rsid w:val="009A12B4"/>
    <w:rsid w:val="009A17FA"/>
    <w:rsid w:val="009A2AF8"/>
    <w:rsid w:val="009A2C73"/>
    <w:rsid w:val="009A3572"/>
    <w:rsid w:val="009A3FDB"/>
    <w:rsid w:val="009A6DEE"/>
    <w:rsid w:val="009B0FBA"/>
    <w:rsid w:val="009B14AD"/>
    <w:rsid w:val="009B20B7"/>
    <w:rsid w:val="009B318D"/>
    <w:rsid w:val="009B54F3"/>
    <w:rsid w:val="009B6B74"/>
    <w:rsid w:val="009C1844"/>
    <w:rsid w:val="009C3E0D"/>
    <w:rsid w:val="009C4E86"/>
    <w:rsid w:val="009C7DCC"/>
    <w:rsid w:val="009D18F4"/>
    <w:rsid w:val="009D28D3"/>
    <w:rsid w:val="009D2ADE"/>
    <w:rsid w:val="009D45ED"/>
    <w:rsid w:val="009D5293"/>
    <w:rsid w:val="009D5902"/>
    <w:rsid w:val="009D6E9E"/>
    <w:rsid w:val="009D783B"/>
    <w:rsid w:val="009D7CF6"/>
    <w:rsid w:val="009E37A1"/>
    <w:rsid w:val="009E37C9"/>
    <w:rsid w:val="009E3E88"/>
    <w:rsid w:val="009E4F5C"/>
    <w:rsid w:val="009E63EC"/>
    <w:rsid w:val="009F1C7A"/>
    <w:rsid w:val="009F4184"/>
    <w:rsid w:val="009F4698"/>
    <w:rsid w:val="009F4E92"/>
    <w:rsid w:val="009F59F6"/>
    <w:rsid w:val="009F718F"/>
    <w:rsid w:val="00A00BA4"/>
    <w:rsid w:val="00A01584"/>
    <w:rsid w:val="00A018CD"/>
    <w:rsid w:val="00A02119"/>
    <w:rsid w:val="00A07FBE"/>
    <w:rsid w:val="00A100C8"/>
    <w:rsid w:val="00A103F1"/>
    <w:rsid w:val="00A10B6B"/>
    <w:rsid w:val="00A11C54"/>
    <w:rsid w:val="00A120B7"/>
    <w:rsid w:val="00A12C1A"/>
    <w:rsid w:val="00A154D6"/>
    <w:rsid w:val="00A15750"/>
    <w:rsid w:val="00A23CBC"/>
    <w:rsid w:val="00A23E9C"/>
    <w:rsid w:val="00A2491C"/>
    <w:rsid w:val="00A3207B"/>
    <w:rsid w:val="00A320A1"/>
    <w:rsid w:val="00A32549"/>
    <w:rsid w:val="00A32883"/>
    <w:rsid w:val="00A33CCB"/>
    <w:rsid w:val="00A361EC"/>
    <w:rsid w:val="00A40D61"/>
    <w:rsid w:val="00A41035"/>
    <w:rsid w:val="00A42C02"/>
    <w:rsid w:val="00A42CF7"/>
    <w:rsid w:val="00A42DAA"/>
    <w:rsid w:val="00A43CF5"/>
    <w:rsid w:val="00A456AA"/>
    <w:rsid w:val="00A4756A"/>
    <w:rsid w:val="00A47EAB"/>
    <w:rsid w:val="00A50D01"/>
    <w:rsid w:val="00A52A25"/>
    <w:rsid w:val="00A53304"/>
    <w:rsid w:val="00A55C7D"/>
    <w:rsid w:val="00A605A4"/>
    <w:rsid w:val="00A62429"/>
    <w:rsid w:val="00A629C6"/>
    <w:rsid w:val="00A6375C"/>
    <w:rsid w:val="00A64695"/>
    <w:rsid w:val="00A648A9"/>
    <w:rsid w:val="00A650BD"/>
    <w:rsid w:val="00A65D68"/>
    <w:rsid w:val="00A65EB7"/>
    <w:rsid w:val="00A711A3"/>
    <w:rsid w:val="00A71BF9"/>
    <w:rsid w:val="00A740C4"/>
    <w:rsid w:val="00A75CC6"/>
    <w:rsid w:val="00A76FD5"/>
    <w:rsid w:val="00A77BD8"/>
    <w:rsid w:val="00A80712"/>
    <w:rsid w:val="00A81105"/>
    <w:rsid w:val="00A81602"/>
    <w:rsid w:val="00A86375"/>
    <w:rsid w:val="00A86941"/>
    <w:rsid w:val="00A913CF"/>
    <w:rsid w:val="00A92CB6"/>
    <w:rsid w:val="00A92F32"/>
    <w:rsid w:val="00A949E4"/>
    <w:rsid w:val="00A9637E"/>
    <w:rsid w:val="00AA035A"/>
    <w:rsid w:val="00AA045A"/>
    <w:rsid w:val="00AA0F72"/>
    <w:rsid w:val="00AA12C5"/>
    <w:rsid w:val="00AA1A53"/>
    <w:rsid w:val="00AA21CE"/>
    <w:rsid w:val="00AA63CD"/>
    <w:rsid w:val="00AA7459"/>
    <w:rsid w:val="00AA7754"/>
    <w:rsid w:val="00AB0CB3"/>
    <w:rsid w:val="00AB150A"/>
    <w:rsid w:val="00AB4A25"/>
    <w:rsid w:val="00AB6AC5"/>
    <w:rsid w:val="00AB771E"/>
    <w:rsid w:val="00AB785D"/>
    <w:rsid w:val="00AC168A"/>
    <w:rsid w:val="00AC3D6F"/>
    <w:rsid w:val="00AC41EA"/>
    <w:rsid w:val="00AC7637"/>
    <w:rsid w:val="00AD43CD"/>
    <w:rsid w:val="00AD53F5"/>
    <w:rsid w:val="00AE0452"/>
    <w:rsid w:val="00AE0AEC"/>
    <w:rsid w:val="00AE2578"/>
    <w:rsid w:val="00AE27B0"/>
    <w:rsid w:val="00AE4926"/>
    <w:rsid w:val="00AE5170"/>
    <w:rsid w:val="00AE53A3"/>
    <w:rsid w:val="00AE5565"/>
    <w:rsid w:val="00AE59AF"/>
    <w:rsid w:val="00AE7DC4"/>
    <w:rsid w:val="00AF01C5"/>
    <w:rsid w:val="00AF3E24"/>
    <w:rsid w:val="00AF5B36"/>
    <w:rsid w:val="00AF5FCB"/>
    <w:rsid w:val="00AF759B"/>
    <w:rsid w:val="00B00A3D"/>
    <w:rsid w:val="00B01663"/>
    <w:rsid w:val="00B0231C"/>
    <w:rsid w:val="00B02506"/>
    <w:rsid w:val="00B0269A"/>
    <w:rsid w:val="00B02910"/>
    <w:rsid w:val="00B04731"/>
    <w:rsid w:val="00B04D39"/>
    <w:rsid w:val="00B054CE"/>
    <w:rsid w:val="00B064DC"/>
    <w:rsid w:val="00B103C9"/>
    <w:rsid w:val="00B110CD"/>
    <w:rsid w:val="00B1240D"/>
    <w:rsid w:val="00B134BF"/>
    <w:rsid w:val="00B20840"/>
    <w:rsid w:val="00B20C59"/>
    <w:rsid w:val="00B216DF"/>
    <w:rsid w:val="00B22E60"/>
    <w:rsid w:val="00B246D5"/>
    <w:rsid w:val="00B2797F"/>
    <w:rsid w:val="00B305B9"/>
    <w:rsid w:val="00B314F5"/>
    <w:rsid w:val="00B32A2E"/>
    <w:rsid w:val="00B3350B"/>
    <w:rsid w:val="00B33BF7"/>
    <w:rsid w:val="00B34B1D"/>
    <w:rsid w:val="00B352A9"/>
    <w:rsid w:val="00B353DD"/>
    <w:rsid w:val="00B35661"/>
    <w:rsid w:val="00B35D07"/>
    <w:rsid w:val="00B4007B"/>
    <w:rsid w:val="00B41DE6"/>
    <w:rsid w:val="00B41E6F"/>
    <w:rsid w:val="00B42504"/>
    <w:rsid w:val="00B440BC"/>
    <w:rsid w:val="00B445E3"/>
    <w:rsid w:val="00B46531"/>
    <w:rsid w:val="00B505D3"/>
    <w:rsid w:val="00B50C96"/>
    <w:rsid w:val="00B5798F"/>
    <w:rsid w:val="00B6092F"/>
    <w:rsid w:val="00B60CE5"/>
    <w:rsid w:val="00B61C60"/>
    <w:rsid w:val="00B64FC9"/>
    <w:rsid w:val="00B67D0F"/>
    <w:rsid w:val="00B724F7"/>
    <w:rsid w:val="00B728A4"/>
    <w:rsid w:val="00B72AE6"/>
    <w:rsid w:val="00B73CD2"/>
    <w:rsid w:val="00B750B0"/>
    <w:rsid w:val="00B76517"/>
    <w:rsid w:val="00B80501"/>
    <w:rsid w:val="00B81ECE"/>
    <w:rsid w:val="00B82756"/>
    <w:rsid w:val="00B82DE4"/>
    <w:rsid w:val="00B86149"/>
    <w:rsid w:val="00B9202C"/>
    <w:rsid w:val="00B93318"/>
    <w:rsid w:val="00B938DE"/>
    <w:rsid w:val="00B945CC"/>
    <w:rsid w:val="00B94EC6"/>
    <w:rsid w:val="00B97316"/>
    <w:rsid w:val="00B97327"/>
    <w:rsid w:val="00BA08FF"/>
    <w:rsid w:val="00BA1230"/>
    <w:rsid w:val="00BA3567"/>
    <w:rsid w:val="00BA7CFB"/>
    <w:rsid w:val="00BB0359"/>
    <w:rsid w:val="00BB15CE"/>
    <w:rsid w:val="00BB18E3"/>
    <w:rsid w:val="00BB2B28"/>
    <w:rsid w:val="00BB2C9D"/>
    <w:rsid w:val="00BB3853"/>
    <w:rsid w:val="00BB3900"/>
    <w:rsid w:val="00BB7282"/>
    <w:rsid w:val="00BB7EDD"/>
    <w:rsid w:val="00BC22B6"/>
    <w:rsid w:val="00BC4C81"/>
    <w:rsid w:val="00BC5845"/>
    <w:rsid w:val="00BC5BAF"/>
    <w:rsid w:val="00BC711D"/>
    <w:rsid w:val="00BC7530"/>
    <w:rsid w:val="00BD0DC1"/>
    <w:rsid w:val="00BD27C2"/>
    <w:rsid w:val="00BD3E98"/>
    <w:rsid w:val="00BD3F8C"/>
    <w:rsid w:val="00BD45E3"/>
    <w:rsid w:val="00BD59D2"/>
    <w:rsid w:val="00BD76E9"/>
    <w:rsid w:val="00BD77A1"/>
    <w:rsid w:val="00BE02E7"/>
    <w:rsid w:val="00BE0EEC"/>
    <w:rsid w:val="00BE1919"/>
    <w:rsid w:val="00BE31BA"/>
    <w:rsid w:val="00BE37D4"/>
    <w:rsid w:val="00BE3947"/>
    <w:rsid w:val="00BE5217"/>
    <w:rsid w:val="00BE6706"/>
    <w:rsid w:val="00BE74FF"/>
    <w:rsid w:val="00BF125D"/>
    <w:rsid w:val="00BF363C"/>
    <w:rsid w:val="00BF3A46"/>
    <w:rsid w:val="00BF698D"/>
    <w:rsid w:val="00C0158D"/>
    <w:rsid w:val="00C02BB7"/>
    <w:rsid w:val="00C102B2"/>
    <w:rsid w:val="00C105B8"/>
    <w:rsid w:val="00C157DA"/>
    <w:rsid w:val="00C15E4C"/>
    <w:rsid w:val="00C16111"/>
    <w:rsid w:val="00C17A3C"/>
    <w:rsid w:val="00C235B3"/>
    <w:rsid w:val="00C238F8"/>
    <w:rsid w:val="00C24111"/>
    <w:rsid w:val="00C30157"/>
    <w:rsid w:val="00C31D7A"/>
    <w:rsid w:val="00C35ECD"/>
    <w:rsid w:val="00C36450"/>
    <w:rsid w:val="00C36700"/>
    <w:rsid w:val="00C37619"/>
    <w:rsid w:val="00C376A1"/>
    <w:rsid w:val="00C40CFC"/>
    <w:rsid w:val="00C414CB"/>
    <w:rsid w:val="00C41B2A"/>
    <w:rsid w:val="00C4355E"/>
    <w:rsid w:val="00C4506A"/>
    <w:rsid w:val="00C46ABE"/>
    <w:rsid w:val="00C4765F"/>
    <w:rsid w:val="00C478BB"/>
    <w:rsid w:val="00C500C0"/>
    <w:rsid w:val="00C50850"/>
    <w:rsid w:val="00C511F7"/>
    <w:rsid w:val="00C51C1F"/>
    <w:rsid w:val="00C51FA7"/>
    <w:rsid w:val="00C53066"/>
    <w:rsid w:val="00C54806"/>
    <w:rsid w:val="00C54B34"/>
    <w:rsid w:val="00C56090"/>
    <w:rsid w:val="00C57655"/>
    <w:rsid w:val="00C57C03"/>
    <w:rsid w:val="00C60C6E"/>
    <w:rsid w:val="00C62C62"/>
    <w:rsid w:val="00C63373"/>
    <w:rsid w:val="00C64445"/>
    <w:rsid w:val="00C65F36"/>
    <w:rsid w:val="00C667E0"/>
    <w:rsid w:val="00C6708C"/>
    <w:rsid w:val="00C720AA"/>
    <w:rsid w:val="00C7231E"/>
    <w:rsid w:val="00C737F8"/>
    <w:rsid w:val="00C77926"/>
    <w:rsid w:val="00C77D07"/>
    <w:rsid w:val="00C8110E"/>
    <w:rsid w:val="00C83F61"/>
    <w:rsid w:val="00C85FBA"/>
    <w:rsid w:val="00C8764F"/>
    <w:rsid w:val="00C900E6"/>
    <w:rsid w:val="00C919DA"/>
    <w:rsid w:val="00C93E55"/>
    <w:rsid w:val="00C94A81"/>
    <w:rsid w:val="00C94BEA"/>
    <w:rsid w:val="00C955E0"/>
    <w:rsid w:val="00C9726C"/>
    <w:rsid w:val="00CA0DF1"/>
    <w:rsid w:val="00CA1B02"/>
    <w:rsid w:val="00CA30B2"/>
    <w:rsid w:val="00CA402A"/>
    <w:rsid w:val="00CA5C6C"/>
    <w:rsid w:val="00CA6056"/>
    <w:rsid w:val="00CA6E71"/>
    <w:rsid w:val="00CB0409"/>
    <w:rsid w:val="00CB0D6C"/>
    <w:rsid w:val="00CB1FD7"/>
    <w:rsid w:val="00CB296A"/>
    <w:rsid w:val="00CB39BB"/>
    <w:rsid w:val="00CB4DFB"/>
    <w:rsid w:val="00CB519E"/>
    <w:rsid w:val="00CB79F9"/>
    <w:rsid w:val="00CC0023"/>
    <w:rsid w:val="00CC0818"/>
    <w:rsid w:val="00CC46C2"/>
    <w:rsid w:val="00CC498E"/>
    <w:rsid w:val="00CC564C"/>
    <w:rsid w:val="00CC6392"/>
    <w:rsid w:val="00CC6DDB"/>
    <w:rsid w:val="00CD098A"/>
    <w:rsid w:val="00CD11D5"/>
    <w:rsid w:val="00CD1B0F"/>
    <w:rsid w:val="00CD566D"/>
    <w:rsid w:val="00CD6D96"/>
    <w:rsid w:val="00CE69C6"/>
    <w:rsid w:val="00CF2C46"/>
    <w:rsid w:val="00CF3182"/>
    <w:rsid w:val="00CF3418"/>
    <w:rsid w:val="00CF4C4A"/>
    <w:rsid w:val="00CF5E6F"/>
    <w:rsid w:val="00CF754A"/>
    <w:rsid w:val="00CF7D02"/>
    <w:rsid w:val="00CF7FCF"/>
    <w:rsid w:val="00D02562"/>
    <w:rsid w:val="00D04E74"/>
    <w:rsid w:val="00D06094"/>
    <w:rsid w:val="00D070DF"/>
    <w:rsid w:val="00D11511"/>
    <w:rsid w:val="00D11C4F"/>
    <w:rsid w:val="00D12C9E"/>
    <w:rsid w:val="00D130BD"/>
    <w:rsid w:val="00D14212"/>
    <w:rsid w:val="00D157C3"/>
    <w:rsid w:val="00D1707F"/>
    <w:rsid w:val="00D17227"/>
    <w:rsid w:val="00D205FB"/>
    <w:rsid w:val="00D23F24"/>
    <w:rsid w:val="00D27737"/>
    <w:rsid w:val="00D315F2"/>
    <w:rsid w:val="00D31C56"/>
    <w:rsid w:val="00D31C93"/>
    <w:rsid w:val="00D33373"/>
    <w:rsid w:val="00D33E4A"/>
    <w:rsid w:val="00D3475E"/>
    <w:rsid w:val="00D354E1"/>
    <w:rsid w:val="00D37008"/>
    <w:rsid w:val="00D37DC9"/>
    <w:rsid w:val="00D410D8"/>
    <w:rsid w:val="00D42BB8"/>
    <w:rsid w:val="00D44086"/>
    <w:rsid w:val="00D44407"/>
    <w:rsid w:val="00D45AC5"/>
    <w:rsid w:val="00D45D6D"/>
    <w:rsid w:val="00D45E11"/>
    <w:rsid w:val="00D502F1"/>
    <w:rsid w:val="00D504AD"/>
    <w:rsid w:val="00D525D5"/>
    <w:rsid w:val="00D53269"/>
    <w:rsid w:val="00D5330C"/>
    <w:rsid w:val="00D538A3"/>
    <w:rsid w:val="00D548C0"/>
    <w:rsid w:val="00D54ED3"/>
    <w:rsid w:val="00D55E1E"/>
    <w:rsid w:val="00D60C12"/>
    <w:rsid w:val="00D64FAD"/>
    <w:rsid w:val="00D66127"/>
    <w:rsid w:val="00D71C78"/>
    <w:rsid w:val="00D73572"/>
    <w:rsid w:val="00D73970"/>
    <w:rsid w:val="00D759DB"/>
    <w:rsid w:val="00D75A50"/>
    <w:rsid w:val="00D803E8"/>
    <w:rsid w:val="00D80AE9"/>
    <w:rsid w:val="00D81402"/>
    <w:rsid w:val="00D827A4"/>
    <w:rsid w:val="00D83532"/>
    <w:rsid w:val="00D94260"/>
    <w:rsid w:val="00D96378"/>
    <w:rsid w:val="00D96E97"/>
    <w:rsid w:val="00D976B5"/>
    <w:rsid w:val="00D9782A"/>
    <w:rsid w:val="00D97A15"/>
    <w:rsid w:val="00DA06D1"/>
    <w:rsid w:val="00DA12FB"/>
    <w:rsid w:val="00DA15CB"/>
    <w:rsid w:val="00DA164B"/>
    <w:rsid w:val="00DA36C8"/>
    <w:rsid w:val="00DA3EA9"/>
    <w:rsid w:val="00DA4233"/>
    <w:rsid w:val="00DA57ED"/>
    <w:rsid w:val="00DA5D4F"/>
    <w:rsid w:val="00DA6B7A"/>
    <w:rsid w:val="00DB071C"/>
    <w:rsid w:val="00DB089D"/>
    <w:rsid w:val="00DB2679"/>
    <w:rsid w:val="00DB67B4"/>
    <w:rsid w:val="00DB7D18"/>
    <w:rsid w:val="00DB7EA9"/>
    <w:rsid w:val="00DB7FE7"/>
    <w:rsid w:val="00DC1C01"/>
    <w:rsid w:val="00DC5F74"/>
    <w:rsid w:val="00DC5FD9"/>
    <w:rsid w:val="00DD0517"/>
    <w:rsid w:val="00DD1918"/>
    <w:rsid w:val="00DD2C5A"/>
    <w:rsid w:val="00DD57A4"/>
    <w:rsid w:val="00DD6840"/>
    <w:rsid w:val="00DD6FE1"/>
    <w:rsid w:val="00DD7A31"/>
    <w:rsid w:val="00DE2611"/>
    <w:rsid w:val="00DE2D9E"/>
    <w:rsid w:val="00DE4128"/>
    <w:rsid w:val="00DE5785"/>
    <w:rsid w:val="00DE6A30"/>
    <w:rsid w:val="00DE70E8"/>
    <w:rsid w:val="00DF264C"/>
    <w:rsid w:val="00DF2818"/>
    <w:rsid w:val="00DF29A2"/>
    <w:rsid w:val="00DF2E52"/>
    <w:rsid w:val="00DF36AD"/>
    <w:rsid w:val="00DF4284"/>
    <w:rsid w:val="00DF4FB4"/>
    <w:rsid w:val="00DF6629"/>
    <w:rsid w:val="00DF74B2"/>
    <w:rsid w:val="00E0290C"/>
    <w:rsid w:val="00E0296A"/>
    <w:rsid w:val="00E02CF8"/>
    <w:rsid w:val="00E04519"/>
    <w:rsid w:val="00E05749"/>
    <w:rsid w:val="00E05C1D"/>
    <w:rsid w:val="00E10626"/>
    <w:rsid w:val="00E112DA"/>
    <w:rsid w:val="00E121C2"/>
    <w:rsid w:val="00E1654A"/>
    <w:rsid w:val="00E17E51"/>
    <w:rsid w:val="00E20B92"/>
    <w:rsid w:val="00E20C28"/>
    <w:rsid w:val="00E2167C"/>
    <w:rsid w:val="00E24A86"/>
    <w:rsid w:val="00E26620"/>
    <w:rsid w:val="00E26C1A"/>
    <w:rsid w:val="00E33917"/>
    <w:rsid w:val="00E34847"/>
    <w:rsid w:val="00E34C2E"/>
    <w:rsid w:val="00E35E55"/>
    <w:rsid w:val="00E36E23"/>
    <w:rsid w:val="00E37E53"/>
    <w:rsid w:val="00E40237"/>
    <w:rsid w:val="00E40841"/>
    <w:rsid w:val="00E42DB8"/>
    <w:rsid w:val="00E430C0"/>
    <w:rsid w:val="00E430DE"/>
    <w:rsid w:val="00E44A0B"/>
    <w:rsid w:val="00E44C23"/>
    <w:rsid w:val="00E46463"/>
    <w:rsid w:val="00E464E7"/>
    <w:rsid w:val="00E46D09"/>
    <w:rsid w:val="00E4739C"/>
    <w:rsid w:val="00E55BD4"/>
    <w:rsid w:val="00E60FA4"/>
    <w:rsid w:val="00E61A50"/>
    <w:rsid w:val="00E63CF8"/>
    <w:rsid w:val="00E646C6"/>
    <w:rsid w:val="00E648B9"/>
    <w:rsid w:val="00E649C8"/>
    <w:rsid w:val="00E6519C"/>
    <w:rsid w:val="00E679AB"/>
    <w:rsid w:val="00E71205"/>
    <w:rsid w:val="00E71E4E"/>
    <w:rsid w:val="00E72C02"/>
    <w:rsid w:val="00E73EBB"/>
    <w:rsid w:val="00E74068"/>
    <w:rsid w:val="00E7754B"/>
    <w:rsid w:val="00E802C7"/>
    <w:rsid w:val="00E80EF6"/>
    <w:rsid w:val="00E827B1"/>
    <w:rsid w:val="00E83DB0"/>
    <w:rsid w:val="00E84AC0"/>
    <w:rsid w:val="00E84BC3"/>
    <w:rsid w:val="00E8523D"/>
    <w:rsid w:val="00E8567C"/>
    <w:rsid w:val="00E857A1"/>
    <w:rsid w:val="00E85C03"/>
    <w:rsid w:val="00E863DD"/>
    <w:rsid w:val="00E875B3"/>
    <w:rsid w:val="00E87E01"/>
    <w:rsid w:val="00E9160A"/>
    <w:rsid w:val="00E92AF1"/>
    <w:rsid w:val="00E935F3"/>
    <w:rsid w:val="00E94F6A"/>
    <w:rsid w:val="00E96B95"/>
    <w:rsid w:val="00E974F6"/>
    <w:rsid w:val="00E97C6A"/>
    <w:rsid w:val="00EA0D40"/>
    <w:rsid w:val="00EA17A9"/>
    <w:rsid w:val="00EA1A26"/>
    <w:rsid w:val="00EA5D49"/>
    <w:rsid w:val="00EA6201"/>
    <w:rsid w:val="00EA67D5"/>
    <w:rsid w:val="00EB0DFA"/>
    <w:rsid w:val="00EB2D46"/>
    <w:rsid w:val="00EB3A7D"/>
    <w:rsid w:val="00EB3A8C"/>
    <w:rsid w:val="00EB60BA"/>
    <w:rsid w:val="00EB6CD8"/>
    <w:rsid w:val="00EB6D97"/>
    <w:rsid w:val="00EC21C4"/>
    <w:rsid w:val="00EC24F1"/>
    <w:rsid w:val="00EC4481"/>
    <w:rsid w:val="00EC59EF"/>
    <w:rsid w:val="00EC5C2F"/>
    <w:rsid w:val="00EC71EE"/>
    <w:rsid w:val="00ED017B"/>
    <w:rsid w:val="00ED198B"/>
    <w:rsid w:val="00ED1F96"/>
    <w:rsid w:val="00ED635C"/>
    <w:rsid w:val="00ED67D1"/>
    <w:rsid w:val="00ED6D7B"/>
    <w:rsid w:val="00ED738C"/>
    <w:rsid w:val="00ED7958"/>
    <w:rsid w:val="00EE1584"/>
    <w:rsid w:val="00EE323C"/>
    <w:rsid w:val="00EE46D5"/>
    <w:rsid w:val="00EE4BBF"/>
    <w:rsid w:val="00EE6B55"/>
    <w:rsid w:val="00EE7A88"/>
    <w:rsid w:val="00EF051C"/>
    <w:rsid w:val="00EF1CCB"/>
    <w:rsid w:val="00EF205B"/>
    <w:rsid w:val="00EF4A1B"/>
    <w:rsid w:val="00EF4FD8"/>
    <w:rsid w:val="00EF547D"/>
    <w:rsid w:val="00EF7339"/>
    <w:rsid w:val="00EF7CBE"/>
    <w:rsid w:val="00EF7D1B"/>
    <w:rsid w:val="00F0096B"/>
    <w:rsid w:val="00F00EF3"/>
    <w:rsid w:val="00F01508"/>
    <w:rsid w:val="00F021D6"/>
    <w:rsid w:val="00F06D75"/>
    <w:rsid w:val="00F079E1"/>
    <w:rsid w:val="00F12457"/>
    <w:rsid w:val="00F16997"/>
    <w:rsid w:val="00F16AA8"/>
    <w:rsid w:val="00F17053"/>
    <w:rsid w:val="00F213AA"/>
    <w:rsid w:val="00F21FBA"/>
    <w:rsid w:val="00F22A5F"/>
    <w:rsid w:val="00F24283"/>
    <w:rsid w:val="00F2608F"/>
    <w:rsid w:val="00F26266"/>
    <w:rsid w:val="00F272B4"/>
    <w:rsid w:val="00F279DA"/>
    <w:rsid w:val="00F27FE7"/>
    <w:rsid w:val="00F32E5E"/>
    <w:rsid w:val="00F34583"/>
    <w:rsid w:val="00F37A27"/>
    <w:rsid w:val="00F40A00"/>
    <w:rsid w:val="00F419C1"/>
    <w:rsid w:val="00F42700"/>
    <w:rsid w:val="00F43BF8"/>
    <w:rsid w:val="00F44FC8"/>
    <w:rsid w:val="00F452DD"/>
    <w:rsid w:val="00F45790"/>
    <w:rsid w:val="00F45D82"/>
    <w:rsid w:val="00F51409"/>
    <w:rsid w:val="00F516BF"/>
    <w:rsid w:val="00F52666"/>
    <w:rsid w:val="00F5352C"/>
    <w:rsid w:val="00F57F97"/>
    <w:rsid w:val="00F6425A"/>
    <w:rsid w:val="00F6429F"/>
    <w:rsid w:val="00F65C54"/>
    <w:rsid w:val="00F71C64"/>
    <w:rsid w:val="00F7387F"/>
    <w:rsid w:val="00F73DC8"/>
    <w:rsid w:val="00F73E8F"/>
    <w:rsid w:val="00F80FAF"/>
    <w:rsid w:val="00F813DF"/>
    <w:rsid w:val="00F8349C"/>
    <w:rsid w:val="00F841C0"/>
    <w:rsid w:val="00F850B4"/>
    <w:rsid w:val="00F853E1"/>
    <w:rsid w:val="00F871AB"/>
    <w:rsid w:val="00F879F2"/>
    <w:rsid w:val="00F87FFD"/>
    <w:rsid w:val="00F94BD7"/>
    <w:rsid w:val="00F95AE6"/>
    <w:rsid w:val="00FA0609"/>
    <w:rsid w:val="00FA11A9"/>
    <w:rsid w:val="00FA51C8"/>
    <w:rsid w:val="00FA5B6A"/>
    <w:rsid w:val="00FB39C5"/>
    <w:rsid w:val="00FB5BFD"/>
    <w:rsid w:val="00FB7407"/>
    <w:rsid w:val="00FC0ED6"/>
    <w:rsid w:val="00FC0F55"/>
    <w:rsid w:val="00FC3649"/>
    <w:rsid w:val="00FC5FDA"/>
    <w:rsid w:val="00FD2418"/>
    <w:rsid w:val="00FD5A36"/>
    <w:rsid w:val="00FD69D4"/>
    <w:rsid w:val="00FD6B1D"/>
    <w:rsid w:val="00FD6D06"/>
    <w:rsid w:val="00FE1D81"/>
    <w:rsid w:val="00FE2184"/>
    <w:rsid w:val="00FE238D"/>
    <w:rsid w:val="00FE779B"/>
    <w:rsid w:val="00FF1E8B"/>
    <w:rsid w:val="00FF234F"/>
    <w:rsid w:val="00FF23A5"/>
    <w:rsid w:val="00FF30CB"/>
    <w:rsid w:val="00FF4979"/>
    <w:rsid w:val="00FF5497"/>
    <w:rsid w:val="00FF634F"/>
    <w:rsid w:val="00FF6C64"/>
    <w:rsid w:val="0151CCA9"/>
    <w:rsid w:val="0229D454"/>
    <w:rsid w:val="03C63378"/>
    <w:rsid w:val="069B5438"/>
    <w:rsid w:val="0D865EF2"/>
    <w:rsid w:val="10DF149C"/>
    <w:rsid w:val="128C5C2E"/>
    <w:rsid w:val="1414E1B7"/>
    <w:rsid w:val="16C36C23"/>
    <w:rsid w:val="175D9B46"/>
    <w:rsid w:val="1790F9AC"/>
    <w:rsid w:val="1E5D1E66"/>
    <w:rsid w:val="21DAD076"/>
    <w:rsid w:val="22D4F592"/>
    <w:rsid w:val="22E0B960"/>
    <w:rsid w:val="2413B1C6"/>
    <w:rsid w:val="26077701"/>
    <w:rsid w:val="2A191E35"/>
    <w:rsid w:val="2C879BA6"/>
    <w:rsid w:val="2D3456CF"/>
    <w:rsid w:val="2EE244ED"/>
    <w:rsid w:val="2FFA0320"/>
    <w:rsid w:val="3207C7F2"/>
    <w:rsid w:val="3245B441"/>
    <w:rsid w:val="3281A8EE"/>
    <w:rsid w:val="3331A3E2"/>
    <w:rsid w:val="33FD061A"/>
    <w:rsid w:val="3485BEDF"/>
    <w:rsid w:val="34CD7443"/>
    <w:rsid w:val="357D5503"/>
    <w:rsid w:val="3588C059"/>
    <w:rsid w:val="3844E7A1"/>
    <w:rsid w:val="3933121C"/>
    <w:rsid w:val="396E0C34"/>
    <w:rsid w:val="3A0183BD"/>
    <w:rsid w:val="3A98A36D"/>
    <w:rsid w:val="3C58F8D7"/>
    <w:rsid w:val="3DAF75E3"/>
    <w:rsid w:val="3ECDE4AA"/>
    <w:rsid w:val="44EB6B5F"/>
    <w:rsid w:val="464C8F3C"/>
    <w:rsid w:val="47BC3DB3"/>
    <w:rsid w:val="47E85F9D"/>
    <w:rsid w:val="48DC2290"/>
    <w:rsid w:val="49842FFE"/>
    <w:rsid w:val="4A91A3C6"/>
    <w:rsid w:val="4ABFC6BB"/>
    <w:rsid w:val="4D194994"/>
    <w:rsid w:val="4EB519F5"/>
    <w:rsid w:val="4F6514E9"/>
    <w:rsid w:val="4F79B409"/>
    <w:rsid w:val="531B62FF"/>
    <w:rsid w:val="535EDF0A"/>
    <w:rsid w:val="53A95F9B"/>
    <w:rsid w:val="55A17D3B"/>
    <w:rsid w:val="56847DCE"/>
    <w:rsid w:val="573A0DD1"/>
    <w:rsid w:val="5832D9A2"/>
    <w:rsid w:val="58BAA9CA"/>
    <w:rsid w:val="5CC62B9C"/>
    <w:rsid w:val="5E0321B9"/>
    <w:rsid w:val="5FAA8AE0"/>
    <w:rsid w:val="61CED75A"/>
    <w:rsid w:val="6341A54D"/>
    <w:rsid w:val="6393EDDB"/>
    <w:rsid w:val="6482FB87"/>
    <w:rsid w:val="64A7A2AA"/>
    <w:rsid w:val="6658F0A5"/>
    <w:rsid w:val="66EA25C4"/>
    <w:rsid w:val="694AFE3D"/>
    <w:rsid w:val="6DB0F817"/>
    <w:rsid w:val="6DB7AF35"/>
    <w:rsid w:val="6F6343FE"/>
    <w:rsid w:val="71D4EE42"/>
    <w:rsid w:val="71EE169F"/>
    <w:rsid w:val="7389E700"/>
    <w:rsid w:val="766DA4DC"/>
    <w:rsid w:val="772AE930"/>
    <w:rsid w:val="77585A59"/>
    <w:rsid w:val="779306DD"/>
    <w:rsid w:val="798ADB7F"/>
    <w:rsid w:val="7B4A66A9"/>
    <w:rsid w:val="7C6C53B0"/>
    <w:rsid w:val="7DE9B20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4AEA8"/>
  <w15:docId w15:val="{F1BC68E7-F0A6-48C0-AD21-5E2B43B76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rsid w:val="00C65F36"/>
  </w:style>
  <w:style w:type="paragraph" w:styleId="Heading1">
    <w:name w:val="heading 1"/>
    <w:basedOn w:val="Normal"/>
    <w:next w:val="Normal"/>
    <w:link w:val="Heading1Char"/>
    <w:uiPriority w:val="9"/>
    <w:semiHidden/>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semiHidden/>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semiHidden/>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D94260"/>
    <w:pPr>
      <w:spacing w:before="240" w:after="120"/>
      <w:outlineLvl w:val="1"/>
    </w:pPr>
    <w:rPr>
      <w:b/>
      <w:sz w:val="28"/>
    </w:rPr>
  </w:style>
  <w:style w:type="paragraph" w:customStyle="1" w:styleId="Head3">
    <w:name w:val="Head3"/>
    <w:basedOn w:val="BaseHeading"/>
    <w:qFormat/>
    <w:rsid w:val="00D94260"/>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E02CF8"/>
    <w:pPr>
      <w:spacing w:before="240" w:after="120"/>
      <w:outlineLvl w:val="3"/>
    </w:p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1"/>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table" w:styleId="TableGrid">
    <w:name w:val="Table Grid"/>
    <w:basedOn w:val="TableNormal"/>
    <w:uiPriority w:val="59"/>
    <w:rsid w:val="007573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rsid w:val="00A648A9"/>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chart" Target="charts/chart5.xml"/><Relationship Id="rId26" Type="http://schemas.openxmlformats.org/officeDocument/2006/relationships/image" Target="media/image10.gif"/><Relationship Id="rId39" Type="http://schemas.openxmlformats.org/officeDocument/2006/relationships/hyperlink" Target="https://www.usgs.gov/centers/pcmsc/science/preliminary-analysis-april-2007-solomon-islands-tsunami-southwest-pacific" TargetMode="External"/><Relationship Id="rId21" Type="http://schemas.openxmlformats.org/officeDocument/2006/relationships/image" Target="media/image5.png"/><Relationship Id="rId34" Type="http://schemas.openxmlformats.org/officeDocument/2006/relationships/chart" Target="charts/chart12.xml"/><Relationship Id="rId42" Type="http://schemas.openxmlformats.org/officeDocument/2006/relationships/hyperlink" Target="https://www.adb.org/sites/default/files/project-documents/51271/51271-001-iee-en_2.pdf" TargetMode="External"/><Relationship Id="rId47" Type="http://schemas.openxmlformats.org/officeDocument/2006/relationships/hyperlink" Target="https://doi.org/10.1080/0143116031000139863" TargetMode="External"/><Relationship Id="rId50" Type="http://schemas.openxmlformats.org/officeDocument/2006/relationships/hyperlink" Target="https://doi.org/10.3390/rs9070676" TargetMode="External"/><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chart" Target="charts/chart7.xml"/><Relationship Id="rId11" Type="http://schemas.openxmlformats.org/officeDocument/2006/relationships/image" Target="media/image1.jpg"/><Relationship Id="rId24" Type="http://schemas.openxmlformats.org/officeDocument/2006/relationships/image" Target="media/image8.png"/><Relationship Id="rId32" Type="http://schemas.openxmlformats.org/officeDocument/2006/relationships/chart" Target="charts/chart10.xml"/><Relationship Id="rId37" Type="http://schemas.openxmlformats.org/officeDocument/2006/relationships/image" Target="media/image15.png"/><Relationship Id="rId40" Type="http://schemas.openxmlformats.org/officeDocument/2006/relationships/hyperlink" Target="https://www.adb.org/sites/default/files/institutional-document/32120/charter.pdf" TargetMode="External"/><Relationship Id="rId45" Type="http://schemas.openxmlformats.org/officeDocument/2006/relationships/hyperlink" Target="https://doi.org/10.1109/ICCV.2017.322" TargetMode="External"/><Relationship Id="rId53" Type="http://schemas.openxmlformats.org/officeDocument/2006/relationships/hyperlink" Target="https://docslib.org/doc/2559048/multi-country-drought-preparedness-and-response-plan-design-solomon-islands-1-annual-rainfall-january-2016-unicef-pacific" TargetMode="External"/><Relationship Id="rId5" Type="http://schemas.openxmlformats.org/officeDocument/2006/relationships/numbering" Target="numbering.xml"/><Relationship Id="rId19" Type="http://schemas.openxmlformats.org/officeDocument/2006/relationships/chart" Target="charts/chart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image" Target="media/image6.png"/><Relationship Id="rId27" Type="http://schemas.openxmlformats.org/officeDocument/2006/relationships/image" Target="media/image11.emf"/><Relationship Id="rId30" Type="http://schemas.openxmlformats.org/officeDocument/2006/relationships/chart" Target="charts/chart8.xml"/><Relationship Id="rId35" Type="http://schemas.openxmlformats.org/officeDocument/2006/relationships/image" Target="media/image13.png"/><Relationship Id="rId43" Type="http://schemas.openxmlformats.org/officeDocument/2006/relationships/hyperlink" Target="https://doi.org/10.1111/j.1467-8373.2011.01445.x" TargetMode="External"/><Relationship Id="rId48" Type="http://schemas.openxmlformats.org/officeDocument/2006/relationships/hyperlink" Target="https://doi.org/10.32614/RJ-2018-009" TargetMode="Externa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doi.org/10.3133/dr1181" TargetMode="Externa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chart" Target="charts/chart4.xml"/><Relationship Id="rId25" Type="http://schemas.openxmlformats.org/officeDocument/2006/relationships/image" Target="media/image9.png"/><Relationship Id="rId33" Type="http://schemas.openxmlformats.org/officeDocument/2006/relationships/chart" Target="charts/chart11.xml"/><Relationship Id="rId38" Type="http://schemas.openxmlformats.org/officeDocument/2006/relationships/image" Target="media/image16.png"/><Relationship Id="rId46" Type="http://schemas.openxmlformats.org/officeDocument/2006/relationships/hyperlink" Target="https://doi.org/10.5067/GPM/IMERGDF/DAY/07" TargetMode="External"/><Relationship Id="rId20" Type="http://schemas.openxmlformats.org/officeDocument/2006/relationships/image" Target="media/image4.png"/><Relationship Id="rId41" Type="http://schemas.openxmlformats.org/officeDocument/2006/relationships/hyperlink" Target="https://www.adb.org/publications/state-pacific-towns-and-cities-urbanization-adbs-pacific-developing-member-countries" TargetMode="External"/><Relationship Id="rId54" Type="http://schemas.openxmlformats.org/officeDocument/2006/relationships/hyperlink" Target="https://doi.org/10.21105/joss.01686"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2.xml"/><Relationship Id="rId23" Type="http://schemas.openxmlformats.org/officeDocument/2006/relationships/image" Target="media/image7.png"/><Relationship Id="rId28" Type="http://schemas.openxmlformats.org/officeDocument/2006/relationships/image" Target="media/image12.jpg"/><Relationship Id="rId36" Type="http://schemas.openxmlformats.org/officeDocument/2006/relationships/image" Target="media/image14.png"/><Relationship Id="rId49" Type="http://schemas.openxmlformats.org/officeDocument/2006/relationships/hyperlink" Target="https://www.R-project.org/" TargetMode="Externa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chart" Target="charts/chart9.xml"/><Relationship Id="rId44" Type="http://schemas.openxmlformats.org/officeDocument/2006/relationships/hyperlink" Target="https://doi.org/10.22459/KPI.03.2017.03" TargetMode="External"/><Relationship Id="rId52" Type="http://schemas.openxmlformats.org/officeDocument/2006/relationships/hyperlink" Target="https://unhabitat.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7.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Honiara!$D$2</c:f>
              <c:strCache>
                <c:ptCount val="1"/>
                <c:pt idx="0">
                  <c:v>mm</c:v>
                </c:pt>
              </c:strCache>
            </c:strRef>
          </c:tx>
          <c:spPr>
            <a:solidFill>
              <a:schemeClr val="accent1">
                <a:lumMod val="60000"/>
                <a:lumOff val="40000"/>
              </a:schemeClr>
            </a:solidFill>
            <a:ln>
              <a:solidFill>
                <a:schemeClr val="accent1">
                  <a:lumMod val="60000"/>
                  <a:lumOff val="40000"/>
                </a:schemeClr>
              </a:solidFill>
            </a:ln>
            <a:effectLst/>
          </c:spPr>
          <c:invertIfNegative val="0"/>
          <c:cat>
            <c:strRef>
              <c:f>Honiara!$A$3:$A$338</c:f>
              <c:strCache>
                <c:ptCount val="336"/>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pt idx="333">
                  <c:v>2025-10</c:v>
                </c:pt>
                <c:pt idx="334">
                  <c:v>2025-11</c:v>
                </c:pt>
                <c:pt idx="335">
                  <c:v>2025-12</c:v>
                </c:pt>
              </c:strCache>
            </c:strRef>
          </c:cat>
          <c:val>
            <c:numRef>
              <c:f>Honiara!$D$3:$D$335</c:f>
              <c:numCache>
                <c:formatCode>General</c:formatCode>
                <c:ptCount val="333"/>
                <c:pt idx="0">
                  <c:v>345.03149610600002</c:v>
                </c:pt>
                <c:pt idx="1">
                  <c:v>343.704993339</c:v>
                </c:pt>
                <c:pt idx="2">
                  <c:v>260.18399837200002</c:v>
                </c:pt>
                <c:pt idx="3">
                  <c:v>379.52149256199999</c:v>
                </c:pt>
                <c:pt idx="4">
                  <c:v>61.314499853000001</c:v>
                </c:pt>
                <c:pt idx="5">
                  <c:v>217.055496635</c:v>
                </c:pt>
                <c:pt idx="6">
                  <c:v>366.87498431099999</c:v>
                </c:pt>
                <c:pt idx="7">
                  <c:v>386.37549176300001</c:v>
                </c:pt>
                <c:pt idx="8">
                  <c:v>30.589999129999999</c:v>
                </c:pt>
                <c:pt idx="9">
                  <c:v>86.580997135999993</c:v>
                </c:pt>
                <c:pt idx="10">
                  <c:v>105.654498261</c:v>
                </c:pt>
                <c:pt idx="11">
                  <c:v>162.71299728</c:v>
                </c:pt>
                <c:pt idx="12">
                  <c:v>120.870496651</c:v>
                </c:pt>
                <c:pt idx="13">
                  <c:v>105.86299817699999</c:v>
                </c:pt>
                <c:pt idx="14">
                  <c:v>233.71799549900001</c:v>
                </c:pt>
                <c:pt idx="15">
                  <c:v>156.65549687500001</c:v>
                </c:pt>
                <c:pt idx="16">
                  <c:v>38.218999934000003</c:v>
                </c:pt>
                <c:pt idx="17">
                  <c:v>26.250499802</c:v>
                </c:pt>
                <c:pt idx="18">
                  <c:v>12.236999641000001</c:v>
                </c:pt>
                <c:pt idx="19">
                  <c:v>20.257499671999899</c:v>
                </c:pt>
                <c:pt idx="20">
                  <c:v>66.460998747999994</c:v>
                </c:pt>
                <c:pt idx="21">
                  <c:v>71.144498872</c:v>
                </c:pt>
                <c:pt idx="22">
                  <c:v>144.97349547599899</c:v>
                </c:pt>
                <c:pt idx="23">
                  <c:v>75.303998398000004</c:v>
                </c:pt>
                <c:pt idx="24">
                  <c:v>232.384995159</c:v>
                </c:pt>
                <c:pt idx="25">
                  <c:v>173.060500679</c:v>
                </c:pt>
                <c:pt idx="26">
                  <c:v>329.72099709299999</c:v>
                </c:pt>
                <c:pt idx="27">
                  <c:v>266.04599618999998</c:v>
                </c:pt>
                <c:pt idx="28">
                  <c:v>285.853498194</c:v>
                </c:pt>
                <c:pt idx="29">
                  <c:v>186.206497141</c:v>
                </c:pt>
                <c:pt idx="30">
                  <c:v>145.99499649699999</c:v>
                </c:pt>
                <c:pt idx="31">
                  <c:v>119.737996786</c:v>
                </c:pt>
                <c:pt idx="32">
                  <c:v>94.951499885999993</c:v>
                </c:pt>
                <c:pt idx="33">
                  <c:v>154.401996631</c:v>
                </c:pt>
                <c:pt idx="34">
                  <c:v>301.39499190200002</c:v>
                </c:pt>
                <c:pt idx="35">
                  <c:v>418.35148708899999</c:v>
                </c:pt>
                <c:pt idx="36">
                  <c:v>131.54250141700001</c:v>
                </c:pt>
                <c:pt idx="37">
                  <c:v>514.83748298900002</c:v>
                </c:pt>
                <c:pt idx="38">
                  <c:v>223.79900256299999</c:v>
                </c:pt>
                <c:pt idx="39">
                  <c:v>141.879000104</c:v>
                </c:pt>
                <c:pt idx="40">
                  <c:v>173.931997147</c:v>
                </c:pt>
                <c:pt idx="41">
                  <c:v>160.902999951</c:v>
                </c:pt>
                <c:pt idx="42">
                  <c:v>115.459999201999</c:v>
                </c:pt>
                <c:pt idx="43">
                  <c:v>63.400998989999998</c:v>
                </c:pt>
                <c:pt idx="44">
                  <c:v>135.013496288</c:v>
                </c:pt>
                <c:pt idx="45">
                  <c:v>210.59099726299999</c:v>
                </c:pt>
                <c:pt idx="46">
                  <c:v>135.67849941599999</c:v>
                </c:pt>
                <c:pt idx="47">
                  <c:v>162.59649949300001</c:v>
                </c:pt>
                <c:pt idx="48">
                  <c:v>183.92799452200001</c:v>
                </c:pt>
                <c:pt idx="49">
                  <c:v>320.67999239099998</c:v>
                </c:pt>
                <c:pt idx="50">
                  <c:v>342.17648967899999</c:v>
                </c:pt>
                <c:pt idx="51">
                  <c:v>103.63450051</c:v>
                </c:pt>
                <c:pt idx="52">
                  <c:v>90.303998784000001</c:v>
                </c:pt>
                <c:pt idx="53">
                  <c:v>123.281999103</c:v>
                </c:pt>
                <c:pt idx="54">
                  <c:v>191.85299696600001</c:v>
                </c:pt>
                <c:pt idx="55">
                  <c:v>78.650499479000004</c:v>
                </c:pt>
                <c:pt idx="56">
                  <c:v>202.95299473899999</c:v>
                </c:pt>
                <c:pt idx="57">
                  <c:v>314.23199680800002</c:v>
                </c:pt>
                <c:pt idx="58">
                  <c:v>165.559498451</c:v>
                </c:pt>
                <c:pt idx="59">
                  <c:v>88.391997848000003</c:v>
                </c:pt>
                <c:pt idx="60">
                  <c:v>155.12399874100001</c:v>
                </c:pt>
                <c:pt idx="61">
                  <c:v>74.460499061999997</c:v>
                </c:pt>
                <c:pt idx="62">
                  <c:v>303.81649563899998</c:v>
                </c:pt>
                <c:pt idx="63">
                  <c:v>144.80799349500001</c:v>
                </c:pt>
                <c:pt idx="64">
                  <c:v>81.467498930000005</c:v>
                </c:pt>
                <c:pt idx="65">
                  <c:v>209.34149467099999</c:v>
                </c:pt>
                <c:pt idx="66">
                  <c:v>126.83599604899899</c:v>
                </c:pt>
                <c:pt idx="67">
                  <c:v>95.042998088999994</c:v>
                </c:pt>
                <c:pt idx="68">
                  <c:v>61.964499379999999</c:v>
                </c:pt>
                <c:pt idx="69">
                  <c:v>104.713496675</c:v>
                </c:pt>
                <c:pt idx="70">
                  <c:v>225.14549412</c:v>
                </c:pt>
                <c:pt idx="71">
                  <c:v>151.505000569</c:v>
                </c:pt>
                <c:pt idx="72">
                  <c:v>197.29249453099999</c:v>
                </c:pt>
                <c:pt idx="73">
                  <c:v>284.13649142100002</c:v>
                </c:pt>
                <c:pt idx="74">
                  <c:v>277.59149566100001</c:v>
                </c:pt>
                <c:pt idx="75">
                  <c:v>218.321492925</c:v>
                </c:pt>
                <c:pt idx="76">
                  <c:v>91.772500375999996</c:v>
                </c:pt>
                <c:pt idx="77">
                  <c:v>126.22049749499899</c:v>
                </c:pt>
                <c:pt idx="78">
                  <c:v>95.331997427999994</c:v>
                </c:pt>
                <c:pt idx="79">
                  <c:v>70.889998421000001</c:v>
                </c:pt>
                <c:pt idx="80">
                  <c:v>88.391500433000004</c:v>
                </c:pt>
                <c:pt idx="81">
                  <c:v>266.270494689999</c:v>
                </c:pt>
                <c:pt idx="82">
                  <c:v>181.745496898</c:v>
                </c:pt>
                <c:pt idx="83">
                  <c:v>163.46100214699999</c:v>
                </c:pt>
                <c:pt idx="84">
                  <c:v>242.86749578000001</c:v>
                </c:pt>
                <c:pt idx="85">
                  <c:v>210.61649882699999</c:v>
                </c:pt>
                <c:pt idx="86">
                  <c:v>70.128499366</c:v>
                </c:pt>
                <c:pt idx="87">
                  <c:v>269.87399470999998</c:v>
                </c:pt>
                <c:pt idx="88">
                  <c:v>106.80999939900001</c:v>
                </c:pt>
                <c:pt idx="89">
                  <c:v>76.157499251999994</c:v>
                </c:pt>
                <c:pt idx="90">
                  <c:v>132.03349772199999</c:v>
                </c:pt>
                <c:pt idx="91">
                  <c:v>123.003000047</c:v>
                </c:pt>
                <c:pt idx="92">
                  <c:v>132.67199564500001</c:v>
                </c:pt>
                <c:pt idx="93">
                  <c:v>193.34299864299999</c:v>
                </c:pt>
                <c:pt idx="94">
                  <c:v>155.99799600099999</c:v>
                </c:pt>
                <c:pt idx="95">
                  <c:v>190.44700036899999</c:v>
                </c:pt>
                <c:pt idx="96">
                  <c:v>270.65899535599999</c:v>
                </c:pt>
                <c:pt idx="97">
                  <c:v>332.19499937400002</c:v>
                </c:pt>
                <c:pt idx="98">
                  <c:v>213.10949831799999</c:v>
                </c:pt>
                <c:pt idx="99">
                  <c:v>106.861500984</c:v>
                </c:pt>
                <c:pt idx="100">
                  <c:v>134.970999557</c:v>
                </c:pt>
                <c:pt idx="101">
                  <c:v>143.124499437</c:v>
                </c:pt>
                <c:pt idx="102">
                  <c:v>103.224997364</c:v>
                </c:pt>
                <c:pt idx="103">
                  <c:v>147.12049840099999</c:v>
                </c:pt>
                <c:pt idx="104">
                  <c:v>100.753997633</c:v>
                </c:pt>
                <c:pt idx="105">
                  <c:v>229.80599592299899</c:v>
                </c:pt>
                <c:pt idx="106">
                  <c:v>94.125500604999999</c:v>
                </c:pt>
                <c:pt idx="107">
                  <c:v>123.845502514</c:v>
                </c:pt>
                <c:pt idx="108">
                  <c:v>157.75599849299999</c:v>
                </c:pt>
                <c:pt idx="109">
                  <c:v>210.65349811999999</c:v>
                </c:pt>
                <c:pt idx="110">
                  <c:v>295.130996326</c:v>
                </c:pt>
                <c:pt idx="111">
                  <c:v>74.311499889000004</c:v>
                </c:pt>
                <c:pt idx="112">
                  <c:v>82.950497996999999</c:v>
                </c:pt>
                <c:pt idx="113">
                  <c:v>196.88949565799999</c:v>
                </c:pt>
                <c:pt idx="114">
                  <c:v>180.15849409699999</c:v>
                </c:pt>
                <c:pt idx="115">
                  <c:v>159.84649841199999</c:v>
                </c:pt>
                <c:pt idx="116">
                  <c:v>101.988500062</c:v>
                </c:pt>
                <c:pt idx="117">
                  <c:v>108.50449596</c:v>
                </c:pt>
                <c:pt idx="118">
                  <c:v>219.06399848199999</c:v>
                </c:pt>
                <c:pt idx="119">
                  <c:v>174.16650161000001</c:v>
                </c:pt>
                <c:pt idx="120">
                  <c:v>438.77599421999997</c:v>
                </c:pt>
                <c:pt idx="121">
                  <c:v>230.90899535400001</c:v>
                </c:pt>
                <c:pt idx="122">
                  <c:v>200.411999307</c:v>
                </c:pt>
                <c:pt idx="123">
                  <c:v>333.48449064900001</c:v>
                </c:pt>
                <c:pt idx="124">
                  <c:v>144.601498451</c:v>
                </c:pt>
                <c:pt idx="125">
                  <c:v>77.052999389999997</c:v>
                </c:pt>
                <c:pt idx="126">
                  <c:v>126.79250201299899</c:v>
                </c:pt>
                <c:pt idx="127">
                  <c:v>80.663999274999995</c:v>
                </c:pt>
                <c:pt idx="128">
                  <c:v>123.592500808</c:v>
                </c:pt>
                <c:pt idx="129">
                  <c:v>178.49599665400001</c:v>
                </c:pt>
                <c:pt idx="130">
                  <c:v>116.114998376</c:v>
                </c:pt>
                <c:pt idx="131">
                  <c:v>119.689002805</c:v>
                </c:pt>
                <c:pt idx="132">
                  <c:v>292.76249543400002</c:v>
                </c:pt>
                <c:pt idx="133">
                  <c:v>458.26948583799998</c:v>
                </c:pt>
                <c:pt idx="134">
                  <c:v>308.058497859</c:v>
                </c:pt>
                <c:pt idx="135">
                  <c:v>156.54299706500001</c:v>
                </c:pt>
                <c:pt idx="136">
                  <c:v>146.691999119</c:v>
                </c:pt>
                <c:pt idx="137">
                  <c:v>74.343999749999995</c:v>
                </c:pt>
                <c:pt idx="138">
                  <c:v>172.83649933199999</c:v>
                </c:pt>
                <c:pt idx="139">
                  <c:v>117.088996592</c:v>
                </c:pt>
                <c:pt idx="140">
                  <c:v>159.21849397</c:v>
                </c:pt>
                <c:pt idx="141">
                  <c:v>196.70500090499999</c:v>
                </c:pt>
                <c:pt idx="142">
                  <c:v>77.598002221000002</c:v>
                </c:pt>
                <c:pt idx="143">
                  <c:v>121.90199983700001</c:v>
                </c:pt>
                <c:pt idx="144">
                  <c:v>255.238494495</c:v>
                </c:pt>
                <c:pt idx="145">
                  <c:v>270.90449912299999</c:v>
                </c:pt>
                <c:pt idx="146">
                  <c:v>320.27549040100001</c:v>
                </c:pt>
                <c:pt idx="147">
                  <c:v>188.26149656600001</c:v>
                </c:pt>
                <c:pt idx="148">
                  <c:v>114.032998218</c:v>
                </c:pt>
                <c:pt idx="149">
                  <c:v>120.490498864</c:v>
                </c:pt>
                <c:pt idx="150">
                  <c:v>109.254996146</c:v>
                </c:pt>
                <c:pt idx="151">
                  <c:v>174.35099894199999</c:v>
                </c:pt>
                <c:pt idx="152">
                  <c:v>157.837993617</c:v>
                </c:pt>
                <c:pt idx="153">
                  <c:v>156.32699570099999</c:v>
                </c:pt>
                <c:pt idx="154">
                  <c:v>390.4954894</c:v>
                </c:pt>
                <c:pt idx="155">
                  <c:v>282.98749016400001</c:v>
                </c:pt>
                <c:pt idx="156">
                  <c:v>337.11849523400002</c:v>
                </c:pt>
                <c:pt idx="157">
                  <c:v>239.67199560399999</c:v>
                </c:pt>
                <c:pt idx="158">
                  <c:v>178.98299879199999</c:v>
                </c:pt>
                <c:pt idx="159">
                  <c:v>179.42449506299999</c:v>
                </c:pt>
                <c:pt idx="160">
                  <c:v>135.526999878</c:v>
                </c:pt>
                <c:pt idx="161">
                  <c:v>111.944497361999</c:v>
                </c:pt>
                <c:pt idx="162">
                  <c:v>89.651498704999995</c:v>
                </c:pt>
                <c:pt idx="163">
                  <c:v>197.166000325</c:v>
                </c:pt>
                <c:pt idx="164">
                  <c:v>84.407998629000005</c:v>
                </c:pt>
                <c:pt idx="165">
                  <c:v>251.19349414999999</c:v>
                </c:pt>
                <c:pt idx="166">
                  <c:v>177.11099739100001</c:v>
                </c:pt>
                <c:pt idx="167">
                  <c:v>301.92949334299999</c:v>
                </c:pt>
                <c:pt idx="168">
                  <c:v>506.27999154999998</c:v>
                </c:pt>
                <c:pt idx="169">
                  <c:v>363.940494661</c:v>
                </c:pt>
                <c:pt idx="170">
                  <c:v>409.60448447299899</c:v>
                </c:pt>
                <c:pt idx="171">
                  <c:v>165.857996611</c:v>
                </c:pt>
                <c:pt idx="172">
                  <c:v>114.96000035500001</c:v>
                </c:pt>
                <c:pt idx="173">
                  <c:v>172.051500425</c:v>
                </c:pt>
                <c:pt idx="174">
                  <c:v>224.684498529</c:v>
                </c:pt>
                <c:pt idx="175">
                  <c:v>126.71799793999899</c:v>
                </c:pt>
                <c:pt idx="176">
                  <c:v>146.67249804400001</c:v>
                </c:pt>
                <c:pt idx="177">
                  <c:v>134.65550105899999</c:v>
                </c:pt>
                <c:pt idx="178">
                  <c:v>87.378001001000001</c:v>
                </c:pt>
                <c:pt idx="179">
                  <c:v>450.46048124200001</c:v>
                </c:pt>
                <c:pt idx="180">
                  <c:v>223.71299741499999</c:v>
                </c:pt>
                <c:pt idx="181">
                  <c:v>368.01749033900001</c:v>
                </c:pt>
                <c:pt idx="182">
                  <c:v>575.55798348400003</c:v>
                </c:pt>
                <c:pt idx="183">
                  <c:v>199.87949887600001</c:v>
                </c:pt>
                <c:pt idx="184">
                  <c:v>115.210496956</c:v>
                </c:pt>
                <c:pt idx="185">
                  <c:v>125.099498596</c:v>
                </c:pt>
                <c:pt idx="186">
                  <c:v>159.91299429399999</c:v>
                </c:pt>
                <c:pt idx="187">
                  <c:v>135.99999349399999</c:v>
                </c:pt>
                <c:pt idx="188">
                  <c:v>110.64199678</c:v>
                </c:pt>
                <c:pt idx="189">
                  <c:v>232.834003005</c:v>
                </c:pt>
                <c:pt idx="190">
                  <c:v>100.419499129</c:v>
                </c:pt>
                <c:pt idx="191">
                  <c:v>129.39749941700001</c:v>
                </c:pt>
                <c:pt idx="192">
                  <c:v>565.83598236600005</c:v>
                </c:pt>
                <c:pt idx="193">
                  <c:v>298.90599287200001</c:v>
                </c:pt>
                <c:pt idx="194">
                  <c:v>299.23699205899999</c:v>
                </c:pt>
                <c:pt idx="195">
                  <c:v>884.76597826</c:v>
                </c:pt>
                <c:pt idx="196">
                  <c:v>149.416497851</c:v>
                </c:pt>
                <c:pt idx="197">
                  <c:v>98.057999602999999</c:v>
                </c:pt>
                <c:pt idx="198">
                  <c:v>88.170499937000002</c:v>
                </c:pt>
                <c:pt idx="199">
                  <c:v>139.320996947</c:v>
                </c:pt>
                <c:pt idx="200">
                  <c:v>99.328998521999907</c:v>
                </c:pt>
                <c:pt idx="201">
                  <c:v>238.05049324500001</c:v>
                </c:pt>
                <c:pt idx="202">
                  <c:v>97.290497603000006</c:v>
                </c:pt>
                <c:pt idx="203">
                  <c:v>205.60299389299999</c:v>
                </c:pt>
                <c:pt idx="204">
                  <c:v>498.78947771700001</c:v>
                </c:pt>
                <c:pt idx="205">
                  <c:v>280.283493341</c:v>
                </c:pt>
                <c:pt idx="206">
                  <c:v>385.47049567400001</c:v>
                </c:pt>
                <c:pt idx="207">
                  <c:v>178.14299496199999</c:v>
                </c:pt>
                <c:pt idx="208">
                  <c:v>325.24899025100001</c:v>
                </c:pt>
                <c:pt idx="209">
                  <c:v>210.92099814900001</c:v>
                </c:pt>
                <c:pt idx="210">
                  <c:v>303.01449778799901</c:v>
                </c:pt>
                <c:pt idx="211">
                  <c:v>65.613998836999997</c:v>
                </c:pt>
                <c:pt idx="212">
                  <c:v>110.873496491</c:v>
                </c:pt>
                <c:pt idx="213">
                  <c:v>101.381499166</c:v>
                </c:pt>
                <c:pt idx="214">
                  <c:v>176.450496313</c:v>
                </c:pt>
                <c:pt idx="215">
                  <c:v>316.915489043999</c:v>
                </c:pt>
                <c:pt idx="216">
                  <c:v>93.801497798</c:v>
                </c:pt>
                <c:pt idx="217">
                  <c:v>587.90648253300003</c:v>
                </c:pt>
                <c:pt idx="218">
                  <c:v>368.82899085999998</c:v>
                </c:pt>
                <c:pt idx="219">
                  <c:v>305.30649215400001</c:v>
                </c:pt>
                <c:pt idx="220">
                  <c:v>141.79249856300001</c:v>
                </c:pt>
                <c:pt idx="221">
                  <c:v>59.080498181999999</c:v>
                </c:pt>
                <c:pt idx="222">
                  <c:v>176.43399341399899</c:v>
                </c:pt>
                <c:pt idx="223">
                  <c:v>173.36299497599899</c:v>
                </c:pt>
                <c:pt idx="224">
                  <c:v>124.858497134</c:v>
                </c:pt>
                <c:pt idx="225">
                  <c:v>126.452995399</c:v>
                </c:pt>
                <c:pt idx="226">
                  <c:v>377.918488298</c:v>
                </c:pt>
                <c:pt idx="227">
                  <c:v>270.29749532199997</c:v>
                </c:pt>
                <c:pt idx="228">
                  <c:v>428.75948793200001</c:v>
                </c:pt>
                <c:pt idx="229">
                  <c:v>498.95798659500002</c:v>
                </c:pt>
                <c:pt idx="230">
                  <c:v>275.165496297</c:v>
                </c:pt>
                <c:pt idx="231">
                  <c:v>343.23498885700002</c:v>
                </c:pt>
                <c:pt idx="232">
                  <c:v>140.32699592899999</c:v>
                </c:pt>
                <c:pt idx="233">
                  <c:v>251.74399510800001</c:v>
                </c:pt>
                <c:pt idx="234">
                  <c:v>115.882998027</c:v>
                </c:pt>
                <c:pt idx="235">
                  <c:v>129.12499786199999</c:v>
                </c:pt>
                <c:pt idx="236">
                  <c:v>223.697494229</c:v>
                </c:pt>
                <c:pt idx="237">
                  <c:v>154.187493512</c:v>
                </c:pt>
                <c:pt idx="238">
                  <c:v>243.03999312799999</c:v>
                </c:pt>
                <c:pt idx="239">
                  <c:v>407.70349203799998</c:v>
                </c:pt>
                <c:pt idx="240">
                  <c:v>584.73898128200005</c:v>
                </c:pt>
                <c:pt idx="241">
                  <c:v>318.80799538799999</c:v>
                </c:pt>
                <c:pt idx="242">
                  <c:v>414.76748601200001</c:v>
                </c:pt>
                <c:pt idx="243">
                  <c:v>222.81299220400001</c:v>
                </c:pt>
                <c:pt idx="244">
                  <c:v>157.33999826199999</c:v>
                </c:pt>
                <c:pt idx="245">
                  <c:v>129.56799576500001</c:v>
                </c:pt>
                <c:pt idx="246">
                  <c:v>149.157496638</c:v>
                </c:pt>
                <c:pt idx="247">
                  <c:v>199.74949748399999</c:v>
                </c:pt>
                <c:pt idx="248">
                  <c:v>201.36049606399999</c:v>
                </c:pt>
                <c:pt idx="249">
                  <c:v>137.76299859400001</c:v>
                </c:pt>
                <c:pt idx="250">
                  <c:v>139.419997903</c:v>
                </c:pt>
                <c:pt idx="251">
                  <c:v>521.85048699499998</c:v>
                </c:pt>
                <c:pt idx="252">
                  <c:v>272.15499217799999</c:v>
                </c:pt>
                <c:pt idx="253">
                  <c:v>295.27299320600002</c:v>
                </c:pt>
                <c:pt idx="254">
                  <c:v>190.12099711400001</c:v>
                </c:pt>
                <c:pt idx="255">
                  <c:v>289.87699545999999</c:v>
                </c:pt>
                <c:pt idx="256">
                  <c:v>110.37899751400001</c:v>
                </c:pt>
                <c:pt idx="257">
                  <c:v>128.14449755499999</c:v>
                </c:pt>
                <c:pt idx="258">
                  <c:v>205.452496274</c:v>
                </c:pt>
                <c:pt idx="259">
                  <c:v>220.86049662299999</c:v>
                </c:pt>
                <c:pt idx="260">
                  <c:v>180.41649751700001</c:v>
                </c:pt>
                <c:pt idx="261">
                  <c:v>150.95799859900001</c:v>
                </c:pt>
                <c:pt idx="262">
                  <c:v>170.019496473</c:v>
                </c:pt>
                <c:pt idx="263">
                  <c:v>102.622498572</c:v>
                </c:pt>
                <c:pt idx="264">
                  <c:v>295.78699317000002</c:v>
                </c:pt>
                <c:pt idx="265">
                  <c:v>482.23448844000001</c:v>
                </c:pt>
                <c:pt idx="266">
                  <c:v>496.46098891999998</c:v>
                </c:pt>
                <c:pt idx="267">
                  <c:v>347.97849051100002</c:v>
                </c:pt>
                <c:pt idx="268">
                  <c:v>222.21549725599999</c:v>
                </c:pt>
                <c:pt idx="269">
                  <c:v>86.802997981999994</c:v>
                </c:pt>
                <c:pt idx="270">
                  <c:v>149.122496361</c:v>
                </c:pt>
                <c:pt idx="271">
                  <c:v>152.26749813199999</c:v>
                </c:pt>
                <c:pt idx="272">
                  <c:v>344.60749091999998</c:v>
                </c:pt>
                <c:pt idx="273">
                  <c:v>161.33749576599999</c:v>
                </c:pt>
                <c:pt idx="274">
                  <c:v>218.95549263999999</c:v>
                </c:pt>
                <c:pt idx="275">
                  <c:v>212.35249579800001</c:v>
                </c:pt>
                <c:pt idx="276">
                  <c:v>346.140990058</c:v>
                </c:pt>
                <c:pt idx="277">
                  <c:v>622.24948411800005</c:v>
                </c:pt>
                <c:pt idx="278">
                  <c:v>272.71649436000001</c:v>
                </c:pt>
                <c:pt idx="279">
                  <c:v>267.19399173800002</c:v>
                </c:pt>
                <c:pt idx="280">
                  <c:v>165.284496668</c:v>
                </c:pt>
                <c:pt idx="281">
                  <c:v>94.624497008000006</c:v>
                </c:pt>
                <c:pt idx="282">
                  <c:v>144.06849806400001</c:v>
                </c:pt>
                <c:pt idx="283">
                  <c:v>166.84299693299999</c:v>
                </c:pt>
                <c:pt idx="284">
                  <c:v>131.76949639700001</c:v>
                </c:pt>
                <c:pt idx="285">
                  <c:v>185.470996396</c:v>
                </c:pt>
                <c:pt idx="286">
                  <c:v>178.18199637199999</c:v>
                </c:pt>
                <c:pt idx="287">
                  <c:v>432.35099351700001</c:v>
                </c:pt>
                <c:pt idx="288">
                  <c:v>532.91998382700001</c:v>
                </c:pt>
                <c:pt idx="289">
                  <c:v>456.96299627600001</c:v>
                </c:pt>
                <c:pt idx="290">
                  <c:v>276.05449630599998</c:v>
                </c:pt>
                <c:pt idx="291">
                  <c:v>379.50699133500001</c:v>
                </c:pt>
                <c:pt idx="292">
                  <c:v>133.349496356</c:v>
                </c:pt>
                <c:pt idx="293">
                  <c:v>145.03549778600001</c:v>
                </c:pt>
                <c:pt idx="294">
                  <c:v>56.707499312000003</c:v>
                </c:pt>
                <c:pt idx="295">
                  <c:v>179.248498754</c:v>
                </c:pt>
                <c:pt idx="296">
                  <c:v>137.38249754</c:v>
                </c:pt>
                <c:pt idx="297">
                  <c:v>122.471496675</c:v>
                </c:pt>
                <c:pt idx="298">
                  <c:v>387.081487482</c:v>
                </c:pt>
                <c:pt idx="299">
                  <c:v>274.56499337100001</c:v>
                </c:pt>
                <c:pt idx="300">
                  <c:v>498.03798907700002</c:v>
                </c:pt>
                <c:pt idx="301">
                  <c:v>292.96549869</c:v>
                </c:pt>
                <c:pt idx="302">
                  <c:v>291.82149436600002</c:v>
                </c:pt>
                <c:pt idx="303">
                  <c:v>198.192994943</c:v>
                </c:pt>
                <c:pt idx="304">
                  <c:v>207.56899503899999</c:v>
                </c:pt>
                <c:pt idx="305">
                  <c:v>119.711498177</c:v>
                </c:pt>
                <c:pt idx="306">
                  <c:v>247.594498636</c:v>
                </c:pt>
                <c:pt idx="307">
                  <c:v>201.82049729299999</c:v>
                </c:pt>
                <c:pt idx="308">
                  <c:v>111.904501071</c:v>
                </c:pt>
                <c:pt idx="309">
                  <c:v>208.17749453900001</c:v>
                </c:pt>
                <c:pt idx="310">
                  <c:v>430.37698919100001</c:v>
                </c:pt>
                <c:pt idx="311">
                  <c:v>381.795981826</c:v>
                </c:pt>
                <c:pt idx="312">
                  <c:v>772.52796877399999</c:v>
                </c:pt>
                <c:pt idx="313">
                  <c:v>333.926495418</c:v>
                </c:pt>
                <c:pt idx="314">
                  <c:v>470.96398931300001</c:v>
                </c:pt>
                <c:pt idx="315">
                  <c:v>250.46549259</c:v>
                </c:pt>
                <c:pt idx="316">
                  <c:v>266.62550070200001</c:v>
                </c:pt>
                <c:pt idx="317">
                  <c:v>151.870492982</c:v>
                </c:pt>
                <c:pt idx="318">
                  <c:v>141.487501162</c:v>
                </c:pt>
                <c:pt idx="319">
                  <c:v>213.36499460100001</c:v>
                </c:pt>
                <c:pt idx="320">
                  <c:v>92.087497647000006</c:v>
                </c:pt>
                <c:pt idx="321">
                  <c:v>226.95149660300001</c:v>
                </c:pt>
                <c:pt idx="322">
                  <c:v>177.72099420399999</c:v>
                </c:pt>
                <c:pt idx="323">
                  <c:v>268.853496372</c:v>
                </c:pt>
                <c:pt idx="324">
                  <c:v>410.74548748500001</c:v>
                </c:pt>
                <c:pt idx="325">
                  <c:v>447.73998968400002</c:v>
                </c:pt>
                <c:pt idx="326">
                  <c:v>311.25798790800002</c:v>
                </c:pt>
                <c:pt idx="327">
                  <c:v>379.999993869999</c:v>
                </c:pt>
                <c:pt idx="328">
                  <c:v>370.51598858</c:v>
                </c:pt>
                <c:pt idx="329">
                  <c:v>229.30399723599999</c:v>
                </c:pt>
                <c:pt idx="330">
                  <c:v>190.58449559299899</c:v>
                </c:pt>
                <c:pt idx="331">
                  <c:v>112.421999574</c:v>
                </c:pt>
                <c:pt idx="332">
                  <c:v>177.95749567799999</c:v>
                </c:pt>
              </c:numCache>
            </c:numRef>
          </c:val>
          <c:extLst>
            <c:ext xmlns:c16="http://schemas.microsoft.com/office/drawing/2014/chart" uri="{C3380CC4-5D6E-409C-BE32-E72D297353CC}">
              <c16:uniqueId val="{00000000-8C7A-4E86-85B2-6887BAF37CAE}"/>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NoroMundaBasin!$N$1</c:f>
              <c:strCache>
                <c:ptCount val="1"/>
                <c:pt idx="0">
                  <c:v>SSEBop (ETa)</c:v>
                </c:pt>
              </c:strCache>
            </c:strRef>
          </c:tx>
          <c:spPr>
            <a:solidFill>
              <a:schemeClr val="accent3">
                <a:lumMod val="75000"/>
              </a:schemeClr>
            </a:solidFill>
            <a:ln w="9525" cap="flat" cmpd="sng" algn="ctr">
              <a:solidFill>
                <a:schemeClr val="bg1"/>
              </a:solidFill>
              <a:round/>
            </a:ln>
            <a:effectLst/>
          </c:spPr>
          <c:invertIfNegative val="0"/>
          <c:dLbls>
            <c:delete val="1"/>
          </c:dLbls>
          <c:cat>
            <c:numRef>
              <c:f>NoroMundaBasin!$L$18:$L$30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NoroMundaBasin!$N$18:$N$30</c:f>
              <c:numCache>
                <c:formatCode>General</c:formatCode>
                <c:ptCount val="13"/>
                <c:pt idx="0">
                  <c:v>1187</c:v>
                </c:pt>
                <c:pt idx="1">
                  <c:v>1216</c:v>
                </c:pt>
                <c:pt idx="2">
                  <c:v>1203</c:v>
                </c:pt>
                <c:pt idx="3">
                  <c:v>1191</c:v>
                </c:pt>
                <c:pt idx="4">
                  <c:v>1183</c:v>
                </c:pt>
                <c:pt idx="5">
                  <c:v>1143</c:v>
                </c:pt>
                <c:pt idx="6">
                  <c:v>1138</c:v>
                </c:pt>
                <c:pt idx="7">
                  <c:v>1136</c:v>
                </c:pt>
                <c:pt idx="8">
                  <c:v>1173</c:v>
                </c:pt>
                <c:pt idx="9">
                  <c:v>1184</c:v>
                </c:pt>
                <c:pt idx="10">
                  <c:v>1146</c:v>
                </c:pt>
                <c:pt idx="11">
                  <c:v>1261</c:v>
                </c:pt>
                <c:pt idx="12">
                  <c:v>1288</c:v>
                </c:pt>
              </c:numCache>
            </c:numRef>
          </c:val>
          <c:extLst>
            <c:ext xmlns:c16="http://schemas.microsoft.com/office/drawing/2014/chart" uri="{C3380CC4-5D6E-409C-BE32-E72D297353CC}">
              <c16:uniqueId val="{00000000-B3ED-42CB-B609-141D8D89B446}"/>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r>
                  <a:rPr lang="en-US" sz="11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NoroMundaBasin!$F$1</c:f>
              <c:strCache>
                <c:ptCount val="1"/>
                <c:pt idx="0">
                  <c:v>Net water per month</c:v>
                </c:pt>
              </c:strCache>
            </c:strRef>
          </c:tx>
          <c:spPr>
            <a:solidFill>
              <a:srgbClr val="002060"/>
            </a:solidFill>
            <a:ln>
              <a:noFill/>
            </a:ln>
            <a:effectLst/>
          </c:spPr>
          <c:invertIfNegative val="0"/>
          <c:cat>
            <c:strRef>
              <c:f>NoroMundaBasin!$A$172:$A$338</c:f>
              <c:strCache>
                <c:ptCount val="167"/>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pt idx="164">
                  <c:v>2025-10</c:v>
                </c:pt>
                <c:pt idx="165">
                  <c:v>2025-11</c:v>
                </c:pt>
                <c:pt idx="166">
                  <c:v>2025-12</c:v>
                </c:pt>
              </c:strCache>
            </c:strRef>
          </c:cat>
          <c:val>
            <c:numRef>
              <c:f>NoroMundaBasin!$F$172:$F$335</c:f>
              <c:numCache>
                <c:formatCode>0.00</c:formatCode>
                <c:ptCount val="164"/>
                <c:pt idx="0">
                  <c:v>203.31560034165611</c:v>
                </c:pt>
                <c:pt idx="1">
                  <c:v>386.85216298055695</c:v>
                </c:pt>
                <c:pt idx="2">
                  <c:v>174.89217751484699</c:v>
                </c:pt>
                <c:pt idx="3">
                  <c:v>146.50406334604531</c:v>
                </c:pt>
                <c:pt idx="4">
                  <c:v>76.871015383619905</c:v>
                </c:pt>
                <c:pt idx="5">
                  <c:v>304.93226939087333</c:v>
                </c:pt>
                <c:pt idx="6">
                  <c:v>132.3848002062353</c:v>
                </c:pt>
                <c:pt idx="7">
                  <c:v>392.4395605926743</c:v>
                </c:pt>
                <c:pt idx="8">
                  <c:v>118.46138710978801</c:v>
                </c:pt>
                <c:pt idx="9">
                  <c:v>152.74639864800497</c:v>
                </c:pt>
                <c:pt idx="10">
                  <c:v>96.461719326942003</c:v>
                </c:pt>
                <c:pt idx="11">
                  <c:v>151.26113813186498</c:v>
                </c:pt>
                <c:pt idx="12">
                  <c:v>176.81463314204979</c:v>
                </c:pt>
                <c:pt idx="13">
                  <c:v>573.15368023573319</c:v>
                </c:pt>
                <c:pt idx="14">
                  <c:v>137.2615199042489</c:v>
                </c:pt>
                <c:pt idx="15">
                  <c:v>122.5524372747693</c:v>
                </c:pt>
                <c:pt idx="16">
                  <c:v>121.53607354670591</c:v>
                </c:pt>
                <c:pt idx="17">
                  <c:v>200.5940539989729</c:v>
                </c:pt>
                <c:pt idx="18">
                  <c:v>173.93535114487793</c:v>
                </c:pt>
                <c:pt idx="19">
                  <c:v>38.700780826058988</c:v>
                </c:pt>
                <c:pt idx="20">
                  <c:v>155.38367011058901</c:v>
                </c:pt>
                <c:pt idx="21">
                  <c:v>92.045006955218014</c:v>
                </c:pt>
                <c:pt idx="22">
                  <c:v>141.98890350100498</c:v>
                </c:pt>
                <c:pt idx="23">
                  <c:v>432.31407190619097</c:v>
                </c:pt>
                <c:pt idx="24">
                  <c:v>394.40946085779188</c:v>
                </c:pt>
                <c:pt idx="25">
                  <c:v>69.438225863046014</c:v>
                </c:pt>
                <c:pt idx="26">
                  <c:v>522.44882980984698</c:v>
                </c:pt>
                <c:pt idx="27">
                  <c:v>137.4194378713575</c:v>
                </c:pt>
                <c:pt idx="28">
                  <c:v>244.85404429882809</c:v>
                </c:pt>
                <c:pt idx="29">
                  <c:v>134.30297345112217</c:v>
                </c:pt>
                <c:pt idx="30">
                  <c:v>154.28504753001363</c:v>
                </c:pt>
                <c:pt idx="31">
                  <c:v>254.46046429190503</c:v>
                </c:pt>
                <c:pt idx="32">
                  <c:v>408.74998126992796</c:v>
                </c:pt>
                <c:pt idx="33">
                  <c:v>84.95020594198202</c:v>
                </c:pt>
                <c:pt idx="34">
                  <c:v>89.83931233789599</c:v>
                </c:pt>
                <c:pt idx="35">
                  <c:v>580.46427018053407</c:v>
                </c:pt>
                <c:pt idx="36">
                  <c:v>344.85640608722179</c:v>
                </c:pt>
                <c:pt idx="37">
                  <c:v>519.98985593353905</c:v>
                </c:pt>
                <c:pt idx="38">
                  <c:v>172.24222233678799</c:v>
                </c:pt>
                <c:pt idx="39">
                  <c:v>362.41770444712671</c:v>
                </c:pt>
                <c:pt idx="40">
                  <c:v>243.69338106915842</c:v>
                </c:pt>
                <c:pt idx="41">
                  <c:v>377.0459368983158</c:v>
                </c:pt>
                <c:pt idx="42">
                  <c:v>17.225757314552098</c:v>
                </c:pt>
                <c:pt idx="43">
                  <c:v>37.557269172583986</c:v>
                </c:pt>
                <c:pt idx="44">
                  <c:v>72.531588455553006</c:v>
                </c:pt>
                <c:pt idx="45">
                  <c:v>117.90813666530799</c:v>
                </c:pt>
                <c:pt idx="46">
                  <c:v>273.41045608097795</c:v>
                </c:pt>
                <c:pt idx="47">
                  <c:v>36.664429357141003</c:v>
                </c:pt>
                <c:pt idx="48">
                  <c:v>343.22390402742803</c:v>
                </c:pt>
                <c:pt idx="49">
                  <c:v>313.09095267753298</c:v>
                </c:pt>
                <c:pt idx="50">
                  <c:v>369.27252916979603</c:v>
                </c:pt>
                <c:pt idx="51">
                  <c:v>142.42619974009511</c:v>
                </c:pt>
                <c:pt idx="52">
                  <c:v>89.986899807561116</c:v>
                </c:pt>
                <c:pt idx="53">
                  <c:v>126.6965042080317</c:v>
                </c:pt>
                <c:pt idx="54">
                  <c:v>174.44650258703172</c:v>
                </c:pt>
                <c:pt idx="55">
                  <c:v>121.95891754029421</c:v>
                </c:pt>
                <c:pt idx="56">
                  <c:v>173.21298584748502</c:v>
                </c:pt>
                <c:pt idx="57">
                  <c:v>381.08279450501004</c:v>
                </c:pt>
                <c:pt idx="58">
                  <c:v>262.62988035090103</c:v>
                </c:pt>
                <c:pt idx="59">
                  <c:v>355.69505867223103</c:v>
                </c:pt>
                <c:pt idx="60">
                  <c:v>519.44960946290496</c:v>
                </c:pt>
                <c:pt idx="61">
                  <c:v>238.88395615709101</c:v>
                </c:pt>
                <c:pt idx="62">
                  <c:v>245.79045010390499</c:v>
                </c:pt>
                <c:pt idx="63">
                  <c:v>224.33606279548869</c:v>
                </c:pt>
                <c:pt idx="64">
                  <c:v>342.3203193833711</c:v>
                </c:pt>
                <c:pt idx="65">
                  <c:v>123.5300487380136</c:v>
                </c:pt>
                <c:pt idx="66">
                  <c:v>75.910576137077001</c:v>
                </c:pt>
                <c:pt idx="67">
                  <c:v>184.79466925577299</c:v>
                </c:pt>
                <c:pt idx="68">
                  <c:v>145.69335402950699</c:v>
                </c:pt>
                <c:pt idx="69">
                  <c:v>136.64647558052499</c:v>
                </c:pt>
                <c:pt idx="70">
                  <c:v>251.710059656304</c:v>
                </c:pt>
                <c:pt idx="71">
                  <c:v>549.77901666439402</c:v>
                </c:pt>
                <c:pt idx="72">
                  <c:v>246.18428119524438</c:v>
                </c:pt>
                <c:pt idx="73">
                  <c:v>373.8581227340905</c:v>
                </c:pt>
                <c:pt idx="74">
                  <c:v>260.49166701321718</c:v>
                </c:pt>
                <c:pt idx="75">
                  <c:v>103.5023682705385</c:v>
                </c:pt>
                <c:pt idx="76">
                  <c:v>111.85494635498648</c:v>
                </c:pt>
                <c:pt idx="77">
                  <c:v>179.52578626027508</c:v>
                </c:pt>
                <c:pt idx="78">
                  <c:v>289.24225134058383</c:v>
                </c:pt>
                <c:pt idx="79">
                  <c:v>138.24789094667432</c:v>
                </c:pt>
                <c:pt idx="80">
                  <c:v>98.444651154411986</c:v>
                </c:pt>
                <c:pt idx="81">
                  <c:v>116.39300938491901</c:v>
                </c:pt>
                <c:pt idx="82">
                  <c:v>407.33546951019497</c:v>
                </c:pt>
                <c:pt idx="83">
                  <c:v>423.60604459248901</c:v>
                </c:pt>
                <c:pt idx="84">
                  <c:v>281.23188503441628</c:v>
                </c:pt>
                <c:pt idx="85">
                  <c:v>176.94660482798699</c:v>
                </c:pt>
                <c:pt idx="86">
                  <c:v>357.33059627058384</c:v>
                </c:pt>
                <c:pt idx="87">
                  <c:v>230.69727170172857</c:v>
                </c:pt>
                <c:pt idx="88">
                  <c:v>272.87694013935754</c:v>
                </c:pt>
                <c:pt idx="89">
                  <c:v>195.4270613327466</c:v>
                </c:pt>
                <c:pt idx="90">
                  <c:v>375.41310162480102</c:v>
                </c:pt>
                <c:pt idx="91">
                  <c:v>327.9381162180905</c:v>
                </c:pt>
                <c:pt idx="92">
                  <c:v>129.768172203105</c:v>
                </c:pt>
                <c:pt idx="93">
                  <c:v>133.02873289874699</c:v>
                </c:pt>
                <c:pt idx="94">
                  <c:v>55.431688204506997</c:v>
                </c:pt>
                <c:pt idx="95">
                  <c:v>202.35226120265696</c:v>
                </c:pt>
                <c:pt idx="96">
                  <c:v>617.13803129420819</c:v>
                </c:pt>
                <c:pt idx="97">
                  <c:v>340.06734837832028</c:v>
                </c:pt>
                <c:pt idx="98">
                  <c:v>370.2525852009548</c:v>
                </c:pt>
                <c:pt idx="99">
                  <c:v>200.62226079758381</c:v>
                </c:pt>
                <c:pt idx="100">
                  <c:v>117.4464704263077</c:v>
                </c:pt>
                <c:pt idx="101">
                  <c:v>223.02881525048417</c:v>
                </c:pt>
                <c:pt idx="102">
                  <c:v>244.72183836132939</c:v>
                </c:pt>
                <c:pt idx="103">
                  <c:v>297.51341311566517</c:v>
                </c:pt>
                <c:pt idx="104">
                  <c:v>208.20482300074201</c:v>
                </c:pt>
                <c:pt idx="105">
                  <c:v>153.05194887950128</c:v>
                </c:pt>
                <c:pt idx="106">
                  <c:v>208.26929308582402</c:v>
                </c:pt>
                <c:pt idx="107">
                  <c:v>142.72166529907301</c:v>
                </c:pt>
                <c:pt idx="108">
                  <c:v>394.78216196077381</c:v>
                </c:pt>
                <c:pt idx="109">
                  <c:v>236.77370290131302</c:v>
                </c:pt>
                <c:pt idx="110">
                  <c:v>235.35881513041198</c:v>
                </c:pt>
                <c:pt idx="111">
                  <c:v>360.12738131897288</c:v>
                </c:pt>
                <c:pt idx="112">
                  <c:v>106.04157577940728</c:v>
                </c:pt>
                <c:pt idx="113">
                  <c:v>143.269567929819</c:v>
                </c:pt>
                <c:pt idx="114">
                  <c:v>193.88766222225803</c:v>
                </c:pt>
                <c:pt idx="115">
                  <c:v>176.32150024988692</c:v>
                </c:pt>
                <c:pt idx="116">
                  <c:v>230.153223065118</c:v>
                </c:pt>
                <c:pt idx="117">
                  <c:v>120.50346789860698</c:v>
                </c:pt>
                <c:pt idx="118">
                  <c:v>354.13279194571902</c:v>
                </c:pt>
                <c:pt idx="119">
                  <c:v>507.24751057450692</c:v>
                </c:pt>
                <c:pt idx="120">
                  <c:v>435.24850889769237</c:v>
                </c:pt>
                <c:pt idx="121">
                  <c:v>278.23746468142099</c:v>
                </c:pt>
                <c:pt idx="122">
                  <c:v>336.88813195937911</c:v>
                </c:pt>
                <c:pt idx="123">
                  <c:v>150.617167129629</c:v>
                </c:pt>
                <c:pt idx="124">
                  <c:v>119.30319524446611</c:v>
                </c:pt>
                <c:pt idx="125">
                  <c:v>-27.429485010081393</c:v>
                </c:pt>
                <c:pt idx="126">
                  <c:v>114.2047792538733</c:v>
                </c:pt>
                <c:pt idx="127">
                  <c:v>134.96368172487701</c:v>
                </c:pt>
                <c:pt idx="128">
                  <c:v>109.33668928558001</c:v>
                </c:pt>
                <c:pt idx="129">
                  <c:v>176.43633812491902</c:v>
                </c:pt>
                <c:pt idx="130">
                  <c:v>226.72921862923101</c:v>
                </c:pt>
                <c:pt idx="131">
                  <c:v>325.06194231243001</c:v>
                </c:pt>
                <c:pt idx="132">
                  <c:v>354.80779736479087</c:v>
                </c:pt>
                <c:pt idx="133">
                  <c:v>432.57461210083301</c:v>
                </c:pt>
                <c:pt idx="134">
                  <c:v>129.84095974753399</c:v>
                </c:pt>
                <c:pt idx="135">
                  <c:v>176.9369570147195</c:v>
                </c:pt>
                <c:pt idx="136">
                  <c:v>249.40032273929873</c:v>
                </c:pt>
                <c:pt idx="137">
                  <c:v>533.95115671529868</c:v>
                </c:pt>
                <c:pt idx="138">
                  <c:v>242.62632516455662</c:v>
                </c:pt>
                <c:pt idx="139">
                  <c:v>111.46836397957921</c:v>
                </c:pt>
                <c:pt idx="140">
                  <c:v>176.65011086631702</c:v>
                </c:pt>
                <c:pt idx="141">
                  <c:v>280.34957634710901</c:v>
                </c:pt>
                <c:pt idx="142">
                  <c:v>317.38917924550697</c:v>
                </c:pt>
                <c:pt idx="143">
                  <c:v>467.889796130381</c:v>
                </c:pt>
                <c:pt idx="144">
                  <c:v>396.72323020319095</c:v>
                </c:pt>
                <c:pt idx="145">
                  <c:v>338.83234149717703</c:v>
                </c:pt>
                <c:pt idx="146">
                  <c:v>234.32466065162902</c:v>
                </c:pt>
                <c:pt idx="147">
                  <c:v>335.99438675719909</c:v>
                </c:pt>
                <c:pt idx="148">
                  <c:v>166.6352806585023</c:v>
                </c:pt>
                <c:pt idx="149">
                  <c:v>126.01956078460189</c:v>
                </c:pt>
                <c:pt idx="150">
                  <c:v>228.1032781810589</c:v>
                </c:pt>
                <c:pt idx="151">
                  <c:v>96.436807440824012</c:v>
                </c:pt>
                <c:pt idx="152">
                  <c:v>231.01552825528103</c:v>
                </c:pt>
                <c:pt idx="153">
                  <c:v>77.035608282729001</c:v>
                </c:pt>
                <c:pt idx="154">
                  <c:v>199.62138932878801</c:v>
                </c:pt>
                <c:pt idx="155">
                  <c:v>328.31069832861101</c:v>
                </c:pt>
                <c:pt idx="156">
                  <c:v>356.54188760448903</c:v>
                </c:pt>
                <c:pt idx="157">
                  <c:v>314.41440993377898</c:v>
                </c:pt>
                <c:pt idx="158">
                  <c:v>351.292891294892</c:v>
                </c:pt>
                <c:pt idx="159">
                  <c:v>236.18034591480549</c:v>
                </c:pt>
                <c:pt idx="160">
                  <c:v>223.23962517497739</c:v>
                </c:pt>
                <c:pt idx="161">
                  <c:v>206.0655339174254</c:v>
                </c:pt>
                <c:pt idx="162">
                  <c:v>200.10120633831303</c:v>
                </c:pt>
                <c:pt idx="163">
                  <c:v>148.58645159601897</c:v>
                </c:pt>
              </c:numCache>
            </c:numRef>
          </c:val>
          <c:extLst>
            <c:ext xmlns:c16="http://schemas.microsoft.com/office/drawing/2014/chart" uri="{C3380CC4-5D6E-409C-BE32-E72D297353CC}">
              <c16:uniqueId val="{00000000-9B0B-455F-B91C-9FF07200262C}"/>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layout>
            <c:manualLayout>
              <c:xMode val="edge"/>
              <c:yMode val="edge"/>
              <c:x val="0.50376284069619703"/>
              <c:y val="0.93558896150809545"/>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NoroMundaBasin!$M$1</c:f>
              <c:strCache>
                <c:ptCount val="1"/>
                <c:pt idx="0">
                  <c:v>IMERG (P)</c:v>
                </c:pt>
              </c:strCache>
            </c:strRef>
          </c:tx>
          <c:spPr>
            <a:solidFill>
              <a:schemeClr val="accent1">
                <a:lumMod val="60000"/>
                <a:lumOff val="40000"/>
              </a:schemeClr>
            </a:solidFill>
            <a:ln>
              <a:noFill/>
            </a:ln>
            <a:effectLst/>
          </c:spPr>
          <c:invertIfNegative val="0"/>
          <c:cat>
            <c:numRef>
              <c:f>NoroMundaBasin!$L$18:$L$29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NoroMundaBasin!$M$18:$M$29</c:f>
              <c:numCache>
                <c:formatCode>General</c:formatCode>
                <c:ptCount val="12"/>
                <c:pt idx="0">
                  <c:v>3272.0824523920001</c:v>
                </c:pt>
                <c:pt idx="1">
                  <c:v>4143.0240916290004</c:v>
                </c:pt>
                <c:pt idx="2">
                  <c:v>4322.2932108859904</c:v>
                </c:pt>
                <c:pt idx="3">
                  <c:v>3810.7665463600001</c:v>
                </c:pt>
                <c:pt idx="4">
                  <c:v>4027.6565675739998</c:v>
                </c:pt>
                <c:pt idx="5">
                  <c:v>4018.212402006</c:v>
                </c:pt>
                <c:pt idx="6">
                  <c:v>4097.6057173110003</c:v>
                </c:pt>
                <c:pt idx="7">
                  <c:v>4318.542392161</c:v>
                </c:pt>
                <c:pt idx="8">
                  <c:v>3866.90157</c:v>
                </c:pt>
                <c:pt idx="9">
                  <c:v>3745.394060224</c:v>
                </c:pt>
                <c:pt idx="10">
                  <c:v>4477.5007425120002</c:v>
                </c:pt>
                <c:pt idx="11">
                  <c:v>4159.4599224699996</c:v>
                </c:pt>
              </c:numCache>
            </c:numRef>
          </c:val>
          <c:extLst>
            <c:ext xmlns:c16="http://schemas.microsoft.com/office/drawing/2014/chart" uri="{C3380CC4-5D6E-409C-BE32-E72D297353CC}">
              <c16:uniqueId val="{00000000-2BC2-4607-BA7E-3A950E6242BB}"/>
            </c:ext>
          </c:extLst>
        </c:ser>
        <c:ser>
          <c:idx val="0"/>
          <c:order val="1"/>
          <c:tx>
            <c:strRef>
              <c:f>NoroMundaBasin!$N$1</c:f>
              <c:strCache>
                <c:ptCount val="1"/>
                <c:pt idx="0">
                  <c:v>SSEBop (ETa)</c:v>
                </c:pt>
              </c:strCache>
            </c:strRef>
          </c:tx>
          <c:spPr>
            <a:solidFill>
              <a:schemeClr val="accent3">
                <a:lumMod val="75000"/>
              </a:schemeClr>
            </a:solidFill>
            <a:ln>
              <a:noFill/>
            </a:ln>
            <a:effectLst/>
          </c:spPr>
          <c:invertIfNegative val="0"/>
          <c:cat>
            <c:numRef>
              <c:f>NoroMundaBasin!$L$18:$L$29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NoroMundaBasin!$N$18:$N$29</c:f>
              <c:numCache>
                <c:formatCode>General</c:formatCode>
                <c:ptCount val="12"/>
                <c:pt idx="0">
                  <c:v>1187</c:v>
                </c:pt>
                <c:pt idx="1">
                  <c:v>1216</c:v>
                </c:pt>
                <c:pt idx="2">
                  <c:v>1203</c:v>
                </c:pt>
                <c:pt idx="3">
                  <c:v>1191</c:v>
                </c:pt>
                <c:pt idx="4">
                  <c:v>1183</c:v>
                </c:pt>
                <c:pt idx="5">
                  <c:v>1143</c:v>
                </c:pt>
                <c:pt idx="6">
                  <c:v>1138</c:v>
                </c:pt>
                <c:pt idx="7">
                  <c:v>1136</c:v>
                </c:pt>
                <c:pt idx="8">
                  <c:v>1173</c:v>
                </c:pt>
                <c:pt idx="9">
                  <c:v>1184</c:v>
                </c:pt>
                <c:pt idx="10">
                  <c:v>1146</c:v>
                </c:pt>
                <c:pt idx="11">
                  <c:v>1261</c:v>
                </c:pt>
              </c:numCache>
            </c:numRef>
          </c:val>
          <c:extLst>
            <c:ext xmlns:c16="http://schemas.microsoft.com/office/drawing/2014/chart" uri="{C3380CC4-5D6E-409C-BE32-E72D297353CC}">
              <c16:uniqueId val="{00000001-2BC2-4607-BA7E-3A950E6242BB}"/>
            </c:ext>
          </c:extLst>
        </c:ser>
        <c:ser>
          <c:idx val="2"/>
          <c:order val="2"/>
          <c:tx>
            <c:strRef>
              <c:f>NoroMundaBasin!$O$1</c:f>
              <c:strCache>
                <c:ptCount val="1"/>
                <c:pt idx="0">
                  <c:v>P - ETa</c:v>
                </c:pt>
              </c:strCache>
            </c:strRef>
          </c:tx>
          <c:spPr>
            <a:solidFill>
              <a:srgbClr val="002060"/>
            </a:solidFill>
            <a:ln>
              <a:noFill/>
            </a:ln>
            <a:effectLst/>
          </c:spPr>
          <c:invertIfNegative val="0"/>
          <c:cat>
            <c:numRef>
              <c:f>NoroMundaBasin!$L$18:$L$29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NoroMundaBasin!$O$18:$O$29</c:f>
              <c:numCache>
                <c:formatCode>0</c:formatCode>
                <c:ptCount val="12"/>
                <c:pt idx="0">
                  <c:v>2085.0824523920001</c:v>
                </c:pt>
                <c:pt idx="1">
                  <c:v>2927.0240916290004</c:v>
                </c:pt>
                <c:pt idx="2">
                  <c:v>3119.2932108859904</c:v>
                </c:pt>
                <c:pt idx="3">
                  <c:v>2619.7665463600001</c:v>
                </c:pt>
                <c:pt idx="4">
                  <c:v>2844.6565675739998</c:v>
                </c:pt>
                <c:pt idx="5">
                  <c:v>2875.212402006</c:v>
                </c:pt>
                <c:pt idx="6">
                  <c:v>2959.6057173110003</c:v>
                </c:pt>
                <c:pt idx="7">
                  <c:v>3182.542392161</c:v>
                </c:pt>
                <c:pt idx="8">
                  <c:v>2693.90157</c:v>
                </c:pt>
                <c:pt idx="9">
                  <c:v>2561.394060224</c:v>
                </c:pt>
                <c:pt idx="10">
                  <c:v>3331.5007425120002</c:v>
                </c:pt>
                <c:pt idx="11">
                  <c:v>2898.4599224699996</c:v>
                </c:pt>
              </c:numCache>
            </c:numRef>
          </c:val>
          <c:extLst>
            <c:ext xmlns:c16="http://schemas.microsoft.com/office/drawing/2014/chart" uri="{C3380CC4-5D6E-409C-BE32-E72D297353CC}">
              <c16:uniqueId val="{00000002-2BC2-4607-BA7E-3A950E6242BB}"/>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42221619707E-2"/>
              <c:y val="0.23606152099681663"/>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75045427013932"/>
          <c:y val="0.11232802336528586"/>
          <c:w val="0.84783851537788546"/>
          <c:h val="0.69859106763710821"/>
        </c:manualLayout>
      </c:layout>
      <c:barChart>
        <c:barDir val="col"/>
        <c:grouping val="clustered"/>
        <c:varyColors val="0"/>
        <c:ser>
          <c:idx val="0"/>
          <c:order val="0"/>
          <c:tx>
            <c:strRef>
              <c:f>Honiara!$M$1</c:f>
              <c:strCache>
                <c:ptCount val="1"/>
                <c:pt idx="0">
                  <c:v>IMERG</c:v>
                </c:pt>
              </c:strCache>
            </c:strRef>
          </c:tx>
          <c:spPr>
            <a:solidFill>
              <a:schemeClr val="accent1">
                <a:lumMod val="60000"/>
                <a:lumOff val="40000"/>
              </a:schemeClr>
            </a:solidFill>
            <a:ln>
              <a:solidFill>
                <a:schemeClr val="bg1">
                  <a:lumMod val="95000"/>
                </a:schemeClr>
              </a:solidFill>
            </a:ln>
            <a:effectLst/>
          </c:spPr>
          <c:invertIfNegative val="0"/>
          <c:dLbls>
            <c:delete val="1"/>
          </c:dLbls>
          <c:cat>
            <c:numRef>
              <c:f>Honiara!$L$3:$L$29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Honiara!$M$3:$M$30</c:f>
              <c:numCache>
                <c:formatCode>General</c:formatCode>
                <c:ptCount val="28"/>
                <c:pt idx="0">
                  <c:v>2745.6009447480001</c:v>
                </c:pt>
                <c:pt idx="1">
                  <c:v>1071.953977745</c:v>
                </c:pt>
                <c:pt idx="2">
                  <c:v>2708.1054532469998</c:v>
                </c:pt>
                <c:pt idx="3">
                  <c:v>2169.6334748230001</c:v>
                </c:pt>
                <c:pt idx="4">
                  <c:v>2205.64495928</c:v>
                </c:pt>
                <c:pt idx="5">
                  <c:v>1734.2254654200001</c:v>
                </c:pt>
                <c:pt idx="6">
                  <c:v>2061.4254624260002</c:v>
                </c:pt>
                <c:pt idx="7">
                  <c:v>1903.950475761</c:v>
                </c:pt>
                <c:pt idx="8">
                  <c:v>1999.796985466</c:v>
                </c:pt>
                <c:pt idx="9">
                  <c:v>1961.4204751059999</c:v>
                </c:pt>
                <c:pt idx="10">
                  <c:v>2170.584977302</c:v>
                </c:pt>
                <c:pt idx="11">
                  <c:v>2282.0184679220001</c:v>
                </c:pt>
                <c:pt idx="12">
                  <c:v>2540.4574416370001</c:v>
                </c:pt>
                <c:pt idx="13">
                  <c:v>2284.128964476</c:v>
                </c:pt>
                <c:pt idx="14">
                  <c:v>2903.2634458900002</c:v>
                </c:pt>
                <c:pt idx="15">
                  <c:v>2476.6839517849999</c:v>
                </c:pt>
                <c:pt idx="16">
                  <c:v>3163.9839231579999</c:v>
                </c:pt>
                <c:pt idx="17">
                  <c:v>2953.105927733</c:v>
                </c:pt>
                <c:pt idx="18">
                  <c:v>2806.040924633</c:v>
                </c:pt>
                <c:pt idx="19">
                  <c:v>3211.8254195139998</c:v>
                </c:pt>
                <c:pt idx="20">
                  <c:v>3177.336422591</c:v>
                </c:pt>
                <c:pt idx="21">
                  <c:v>2316.278957085</c:v>
                </c:pt>
                <c:pt idx="22">
                  <c:v>3170.1224258960001</c:v>
                </c:pt>
                <c:pt idx="23">
                  <c:v>3006.894931629</c:v>
                </c:pt>
                <c:pt idx="24">
                  <c:v>3081.2859350200001</c:v>
                </c:pt>
                <c:pt idx="25">
                  <c:v>3189.9684328479998</c:v>
                </c:pt>
                <c:pt idx="26">
                  <c:v>3366.845920368</c:v>
                </c:pt>
                <c:pt idx="27">
                  <c:v>2630.5274356079999</c:v>
                </c:pt>
              </c:numCache>
            </c:numRef>
          </c:val>
          <c:extLst>
            <c:ext xmlns:c16="http://schemas.microsoft.com/office/drawing/2014/chart" uri="{C3380CC4-5D6E-409C-BE32-E72D297353CC}">
              <c16:uniqueId val="{00000000-7AFD-4E14-B05C-24D95FD59589}"/>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Honiara!$I$1</c:f>
              <c:strCache>
                <c:ptCount val="1"/>
                <c:pt idx="0">
                  <c:v>IMERG</c:v>
                </c:pt>
              </c:strCache>
            </c:strRef>
          </c:tx>
          <c:spPr>
            <a:pattFill prst="ltDnDiag">
              <a:fgClr>
                <a:srgbClr val="002060"/>
              </a:fgClr>
              <a:bgClr>
                <a:schemeClr val="bg1"/>
              </a:bgClr>
            </a:pattFill>
            <a:ln>
              <a:noFill/>
            </a:ln>
            <a:effectLst/>
          </c:spPr>
          <c:val>
            <c:numRef>
              <c:f>Honiara!$I$3:$I$14</c:f>
              <c:numCache>
                <c:formatCode>0.00</c:formatCode>
                <c:ptCount val="12"/>
                <c:pt idx="0">
                  <c:v>340.59749146103997</c:v>
                </c:pt>
                <c:pt idx="1">
                  <c:v>340.83307322636</c:v>
                </c:pt>
                <c:pt idx="2">
                  <c:v>306.81017941159257</c:v>
                </c:pt>
                <c:pt idx="3">
                  <c:v>250.10527207733332</c:v>
                </c:pt>
                <c:pt idx="4">
                  <c:v>145.85801657551855</c:v>
                </c:pt>
                <c:pt idx="5">
                  <c:v>134.14722006774068</c:v>
                </c:pt>
                <c:pt idx="6">
                  <c:v>152.97149718181464</c:v>
                </c:pt>
                <c:pt idx="7">
                  <c:v>145.8478124099999</c:v>
                </c:pt>
                <c:pt idx="8">
                  <c:v>131.71844175274074</c:v>
                </c:pt>
                <c:pt idx="9">
                  <c:v>174.18523772477766</c:v>
                </c:pt>
                <c:pt idx="10">
                  <c:v>195.36712543470364</c:v>
                </c:pt>
                <c:pt idx="11">
                  <c:v>241.1873470693703</c:v>
                </c:pt>
              </c:numCache>
            </c:numRef>
          </c:val>
          <c:extLst>
            <c:ext xmlns:c16="http://schemas.microsoft.com/office/drawing/2014/chart" uri="{C3380CC4-5D6E-409C-BE32-E72D297353CC}">
              <c16:uniqueId val="{00000000-F090-4FB2-8387-A4CC4FD5ED1B}"/>
            </c:ext>
          </c:extLst>
        </c:ser>
        <c:ser>
          <c:idx val="1"/>
          <c:order val="1"/>
          <c:tx>
            <c:strRef>
              <c:f>Honiara!$J$1</c:f>
              <c:strCache>
                <c:ptCount val="1"/>
                <c:pt idx="0">
                  <c:v>SSEBop</c:v>
                </c:pt>
              </c:strCache>
            </c:strRef>
          </c:tx>
          <c:spPr>
            <a:solidFill>
              <a:schemeClr val="accent3">
                <a:lumMod val="75000"/>
              </a:schemeClr>
            </a:solidFill>
            <a:ln>
              <a:solidFill>
                <a:schemeClr val="accent3">
                  <a:lumMod val="75000"/>
                </a:schemeClr>
              </a:solidFill>
            </a:ln>
            <a:effectLst/>
          </c:spPr>
          <c:val>
            <c:numRef>
              <c:f>Honiara!$J$3:$J$14</c:f>
              <c:numCache>
                <c:formatCode>0.00</c:formatCode>
                <c:ptCount val="12"/>
                <c:pt idx="0">
                  <c:v>109.85061728395016</c:v>
                </c:pt>
                <c:pt idx="1">
                  <c:v>103.21848884140542</c:v>
                </c:pt>
                <c:pt idx="2">
                  <c:v>107.26457739791023</c:v>
                </c:pt>
                <c:pt idx="3">
                  <c:v>100.60702754036052</c:v>
                </c:pt>
                <c:pt idx="4">
                  <c:v>87.397150997150959</c:v>
                </c:pt>
                <c:pt idx="5">
                  <c:v>87.293067426400725</c:v>
                </c:pt>
                <c:pt idx="6">
                  <c:v>94.652991452991415</c:v>
                </c:pt>
                <c:pt idx="7">
                  <c:v>99.152326685659673</c:v>
                </c:pt>
                <c:pt idx="8">
                  <c:v>105.4319088319083</c:v>
                </c:pt>
                <c:pt idx="9">
                  <c:v>112.37625830959117</c:v>
                </c:pt>
                <c:pt idx="10">
                  <c:v>105.60778727445339</c:v>
                </c:pt>
                <c:pt idx="11">
                  <c:v>109.43095916429192</c:v>
                </c:pt>
              </c:numCache>
            </c:numRef>
          </c:val>
          <c:extLst>
            <c:ext xmlns:c16="http://schemas.microsoft.com/office/drawing/2014/chart" uri="{C3380CC4-5D6E-409C-BE32-E72D297353CC}">
              <c16:uniqueId val="{00000001-F090-4FB2-8387-A4CC4FD5ED1B}"/>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7821185813311796E-2"/>
              <c:y val="0.1766625361420900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Honiara!$N$1</c:f>
              <c:strCache>
                <c:ptCount val="1"/>
                <c:pt idx="0">
                  <c:v>SSEBop (ETa)</c:v>
                </c:pt>
              </c:strCache>
            </c:strRef>
          </c:tx>
          <c:spPr>
            <a:solidFill>
              <a:schemeClr val="accent3">
                <a:lumMod val="75000"/>
              </a:schemeClr>
            </a:solidFill>
            <a:ln w="9525" cap="flat" cmpd="sng" algn="ctr">
              <a:solidFill>
                <a:schemeClr val="bg1"/>
              </a:solidFill>
              <a:round/>
            </a:ln>
            <a:effectLst/>
          </c:spPr>
          <c:invertIfNegative val="0"/>
          <c:dLbls>
            <c:delete val="1"/>
          </c:dLbls>
          <c:cat>
            <c:numRef>
              <c:f>Honiara!$L$18:$L$30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Honiara!$N$18:$N$30</c:f>
              <c:numCache>
                <c:formatCode>General</c:formatCode>
                <c:ptCount val="13"/>
                <c:pt idx="0">
                  <c:v>1222</c:v>
                </c:pt>
                <c:pt idx="1">
                  <c:v>1207</c:v>
                </c:pt>
                <c:pt idx="2">
                  <c:v>1196</c:v>
                </c:pt>
                <c:pt idx="3">
                  <c:v>1209</c:v>
                </c:pt>
                <c:pt idx="4">
                  <c:v>1206</c:v>
                </c:pt>
                <c:pt idx="5">
                  <c:v>1218</c:v>
                </c:pt>
                <c:pt idx="6">
                  <c:v>1184</c:v>
                </c:pt>
                <c:pt idx="7">
                  <c:v>1205</c:v>
                </c:pt>
                <c:pt idx="8">
                  <c:v>1216</c:v>
                </c:pt>
                <c:pt idx="9">
                  <c:v>1249</c:v>
                </c:pt>
                <c:pt idx="10">
                  <c:v>1226</c:v>
                </c:pt>
                <c:pt idx="11">
                  <c:v>1224</c:v>
                </c:pt>
                <c:pt idx="12">
                  <c:v>1261</c:v>
                </c:pt>
              </c:numCache>
            </c:numRef>
          </c:val>
          <c:extLst>
            <c:ext xmlns:c16="http://schemas.microsoft.com/office/drawing/2014/chart" uri="{C3380CC4-5D6E-409C-BE32-E72D297353CC}">
              <c16:uniqueId val="{00000000-B0FF-4D38-AAC2-9CBB0FD36588}"/>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r>
                  <a:rPr lang="en-US" sz="11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Honiara!$F$1</c:f>
              <c:strCache>
                <c:ptCount val="1"/>
                <c:pt idx="0">
                  <c:v>Net water per month</c:v>
                </c:pt>
              </c:strCache>
            </c:strRef>
          </c:tx>
          <c:spPr>
            <a:solidFill>
              <a:srgbClr val="002060"/>
            </a:solidFill>
            <a:ln>
              <a:noFill/>
            </a:ln>
            <a:effectLst/>
          </c:spPr>
          <c:invertIfNegative val="0"/>
          <c:cat>
            <c:strRef>
              <c:f>Honiara!$A$172:$A$338</c:f>
              <c:strCache>
                <c:ptCount val="167"/>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pt idx="164">
                  <c:v>2025-10</c:v>
                </c:pt>
                <c:pt idx="165">
                  <c:v>2025-11</c:v>
                </c:pt>
                <c:pt idx="166">
                  <c:v>2025-12</c:v>
                </c:pt>
              </c:strCache>
            </c:strRef>
          </c:cat>
          <c:val>
            <c:numRef>
              <c:f>Honiara!$F$172:$F$335</c:f>
              <c:numCache>
                <c:formatCode>0.00</c:formatCode>
                <c:ptCount val="164"/>
                <c:pt idx="0">
                  <c:v>263.54049466100003</c:v>
                </c:pt>
                <c:pt idx="1">
                  <c:v>299.59954620139501</c:v>
                </c:pt>
                <c:pt idx="2">
                  <c:v>62.443181796186011</c:v>
                </c:pt>
                <c:pt idx="3">
                  <c:v>28.616790478456807</c:v>
                </c:pt>
                <c:pt idx="4">
                  <c:v>78.683599190432105</c:v>
                </c:pt>
                <c:pt idx="5">
                  <c:v>133.20054791171611</c:v>
                </c:pt>
                <c:pt idx="6">
                  <c:v>16.824170779505991</c:v>
                </c:pt>
                <c:pt idx="7">
                  <c:v>32.593485698321004</c:v>
                </c:pt>
                <c:pt idx="8">
                  <c:v>18.139451676283983</c:v>
                </c:pt>
                <c:pt idx="9">
                  <c:v>-21.40224591258</c:v>
                </c:pt>
                <c:pt idx="10">
                  <c:v>345.235789883976</c:v>
                </c:pt>
                <c:pt idx="11">
                  <c:v>112.56731840265499</c:v>
                </c:pt>
                <c:pt idx="12">
                  <c:v>267.45946564764199</c:v>
                </c:pt>
                <c:pt idx="13">
                  <c:v>468.25181064449401</c:v>
                </c:pt>
                <c:pt idx="14">
                  <c:v>98.049869246371017</c:v>
                </c:pt>
                <c:pt idx="15">
                  <c:v>26.691978437481495</c:v>
                </c:pt>
                <c:pt idx="16">
                  <c:v>36.183449213284007</c:v>
                </c:pt>
                <c:pt idx="17">
                  <c:v>60.016697997703687</c:v>
                </c:pt>
                <c:pt idx="18">
                  <c:v>35.395055222395996</c:v>
                </c:pt>
                <c:pt idx="19">
                  <c:v>8.6444659158029964</c:v>
                </c:pt>
                <c:pt idx="20">
                  <c:v>124.162398066729</c:v>
                </c:pt>
                <c:pt idx="21">
                  <c:v>-2.847167537665996</c:v>
                </c:pt>
                <c:pt idx="22">
                  <c:v>20.340709293544009</c:v>
                </c:pt>
                <c:pt idx="23">
                  <c:v>457.60882187217305</c:v>
                </c:pt>
                <c:pt idx="24">
                  <c:v>205.47389410656791</c:v>
                </c:pt>
                <c:pt idx="25">
                  <c:v>193.56044884912399</c:v>
                </c:pt>
                <c:pt idx="26">
                  <c:v>784.81783011185189</c:v>
                </c:pt>
                <c:pt idx="27">
                  <c:v>61.69551019667901</c:v>
                </c:pt>
                <c:pt idx="28">
                  <c:v>9.8431847881851979</c:v>
                </c:pt>
                <c:pt idx="29">
                  <c:v>-2.9875247543579917</c:v>
                </c:pt>
                <c:pt idx="30">
                  <c:v>40.345688305024694</c:v>
                </c:pt>
                <c:pt idx="31">
                  <c:v>-7.1845817249130874</c:v>
                </c:pt>
                <c:pt idx="32">
                  <c:v>126.67271546722301</c:v>
                </c:pt>
                <c:pt idx="33">
                  <c:v>-11.205798693295989</c:v>
                </c:pt>
                <c:pt idx="34">
                  <c:v>97.998055621395991</c:v>
                </c:pt>
                <c:pt idx="35">
                  <c:v>388.40676166761801</c:v>
                </c:pt>
                <c:pt idx="36">
                  <c:v>182.2736167977902</c:v>
                </c:pt>
                <c:pt idx="37">
                  <c:v>280.97173024190204</c:v>
                </c:pt>
                <c:pt idx="38">
                  <c:v>83.456575208913591</c:v>
                </c:pt>
                <c:pt idx="39">
                  <c:v>240.6736816090247</c:v>
                </c:pt>
                <c:pt idx="40">
                  <c:v>123.82717098850621</c:v>
                </c:pt>
                <c:pt idx="41">
                  <c:v>208.36758420775209</c:v>
                </c:pt>
                <c:pt idx="42">
                  <c:v>-34.961309804975002</c:v>
                </c:pt>
                <c:pt idx="43">
                  <c:v>6.8932495774199936</c:v>
                </c:pt>
                <c:pt idx="44">
                  <c:v>-6.9468958957280051</c:v>
                </c:pt>
                <c:pt idx="45">
                  <c:v>73.062841992013006</c:v>
                </c:pt>
                <c:pt idx="46">
                  <c:v>211.25129151313502</c:v>
                </c:pt>
                <c:pt idx="47">
                  <c:v>-14.815786152616994</c:v>
                </c:pt>
                <c:pt idx="48">
                  <c:v>408.53032512559304</c:v>
                </c:pt>
                <c:pt idx="49">
                  <c:v>259.58948468716096</c:v>
                </c:pt>
                <c:pt idx="50">
                  <c:v>204.91883783301301</c:v>
                </c:pt>
                <c:pt idx="51">
                  <c:v>50.00731337781491</c:v>
                </c:pt>
                <c:pt idx="52">
                  <c:v>-25.452835151333304</c:v>
                </c:pt>
                <c:pt idx="53">
                  <c:v>84.157450204122497</c:v>
                </c:pt>
                <c:pt idx="54">
                  <c:v>73.703735716739786</c:v>
                </c:pt>
                <c:pt idx="55">
                  <c:v>22.325163800666999</c:v>
                </c:pt>
                <c:pt idx="56">
                  <c:v>16.672748485420001</c:v>
                </c:pt>
                <c:pt idx="57">
                  <c:v>275.64194508812398</c:v>
                </c:pt>
                <c:pt idx="58">
                  <c:v>162.93700149483999</c:v>
                </c:pt>
                <c:pt idx="59">
                  <c:v>316.67306817891404</c:v>
                </c:pt>
                <c:pt idx="60">
                  <c:v>397.36786313821005</c:v>
                </c:pt>
                <c:pt idx="61">
                  <c:v>165.14327407477799</c:v>
                </c:pt>
                <c:pt idx="62">
                  <c:v>243.82511231379021</c:v>
                </c:pt>
                <c:pt idx="63">
                  <c:v>52.146749015419786</c:v>
                </c:pt>
                <c:pt idx="64">
                  <c:v>167.56127905861729</c:v>
                </c:pt>
                <c:pt idx="65">
                  <c:v>21.668183212185198</c:v>
                </c:pt>
                <c:pt idx="66">
                  <c:v>37.804010207679084</c:v>
                </c:pt>
                <c:pt idx="67">
                  <c:v>122.240704105544</c:v>
                </c:pt>
                <c:pt idx="68">
                  <c:v>44.185024376198001</c:v>
                </c:pt>
                <c:pt idx="69">
                  <c:v>139.79307954775399</c:v>
                </c:pt>
                <c:pt idx="70">
                  <c:v>297.58003524787699</c:v>
                </c:pt>
                <c:pt idx="71">
                  <c:v>470.63527757829706</c:v>
                </c:pt>
                <c:pt idx="72">
                  <c:v>223.91663736330869</c:v>
                </c:pt>
                <c:pt idx="73">
                  <c:v>308.498350209531</c:v>
                </c:pt>
                <c:pt idx="74">
                  <c:v>123.07965887066671</c:v>
                </c:pt>
                <c:pt idx="75">
                  <c:v>72.957282212617301</c:v>
                </c:pt>
                <c:pt idx="76">
                  <c:v>43.935896999567902</c:v>
                </c:pt>
                <c:pt idx="77">
                  <c:v>55.357496638000001</c:v>
                </c:pt>
                <c:pt idx="78">
                  <c:v>102.50752217535809</c:v>
                </c:pt>
                <c:pt idx="79">
                  <c:v>97.256792360296984</c:v>
                </c:pt>
                <c:pt idx="80">
                  <c:v>20.906208470544016</c:v>
                </c:pt>
                <c:pt idx="81">
                  <c:v>32.973084322753991</c:v>
                </c:pt>
                <c:pt idx="82">
                  <c:v>407.35912897030897</c:v>
                </c:pt>
                <c:pt idx="83">
                  <c:v>169.85869588170397</c:v>
                </c:pt>
                <c:pt idx="84">
                  <c:v>203.26805493439514</c:v>
                </c:pt>
                <c:pt idx="85">
                  <c:v>86.83951563251901</c:v>
                </c:pt>
                <c:pt idx="86">
                  <c:v>192.98810657111119</c:v>
                </c:pt>
                <c:pt idx="87">
                  <c:v>24.455540723876609</c:v>
                </c:pt>
                <c:pt idx="88">
                  <c:v>41.788941999444489</c:v>
                </c:pt>
                <c:pt idx="89">
                  <c:v>114.3413851628889</c:v>
                </c:pt>
                <c:pt idx="90">
                  <c:v>122.86790403040749</c:v>
                </c:pt>
                <c:pt idx="91">
                  <c:v>74.29304072687701</c:v>
                </c:pt>
                <c:pt idx="92">
                  <c:v>38.693801068136011</c:v>
                </c:pt>
                <c:pt idx="93">
                  <c:v>67.500977954482011</c:v>
                </c:pt>
                <c:pt idx="94">
                  <c:v>-4.8244150082460067</c:v>
                </c:pt>
                <c:pt idx="95">
                  <c:v>188.27094378728401</c:v>
                </c:pt>
                <c:pt idx="96">
                  <c:v>387.90362424246922</c:v>
                </c:pt>
                <c:pt idx="97">
                  <c:v>390.85851978419799</c:v>
                </c:pt>
                <c:pt idx="98">
                  <c:v>246.72663865914902</c:v>
                </c:pt>
                <c:pt idx="99">
                  <c:v>140.26487997204939</c:v>
                </c:pt>
                <c:pt idx="100">
                  <c:v>1.4153436610124004</c:v>
                </c:pt>
                <c:pt idx="101">
                  <c:v>56.132372904209902</c:v>
                </c:pt>
                <c:pt idx="102">
                  <c:v>50.97860924311199</c:v>
                </c:pt>
                <c:pt idx="103">
                  <c:v>235.44699709283998</c:v>
                </c:pt>
                <c:pt idx="104">
                  <c:v>47.665890827728987</c:v>
                </c:pt>
                <c:pt idx="105">
                  <c:v>117.59006054123499</c:v>
                </c:pt>
                <c:pt idx="106">
                  <c:v>101.52533530417301</c:v>
                </c:pt>
                <c:pt idx="107">
                  <c:v>236.59037277405</c:v>
                </c:pt>
                <c:pt idx="108">
                  <c:v>526.94824955009881</c:v>
                </c:pt>
                <c:pt idx="109">
                  <c:v>166.235012878519</c:v>
                </c:pt>
                <c:pt idx="110">
                  <c:v>162.94954729355601</c:v>
                </c:pt>
                <c:pt idx="111">
                  <c:v>73.958570742074102</c:v>
                </c:pt>
                <c:pt idx="112">
                  <c:v>4.6640031808396003</c:v>
                </c:pt>
                <c:pt idx="113">
                  <c:v>47.952448681284011</c:v>
                </c:pt>
                <c:pt idx="114">
                  <c:v>74.457811747814901</c:v>
                </c:pt>
                <c:pt idx="115">
                  <c:v>30.606533434038013</c:v>
                </c:pt>
                <c:pt idx="116">
                  <c:v>73.557416149087004</c:v>
                </c:pt>
                <c:pt idx="117">
                  <c:v>68.957305013975983</c:v>
                </c:pt>
                <c:pt idx="118">
                  <c:v>323.51889475156804</c:v>
                </c:pt>
                <c:pt idx="119">
                  <c:v>422.91010728379104</c:v>
                </c:pt>
                <c:pt idx="120">
                  <c:v>360.43213207846918</c:v>
                </c:pt>
                <c:pt idx="121">
                  <c:v>163.34585433069196</c:v>
                </c:pt>
                <c:pt idx="122">
                  <c:v>275.95637405105003</c:v>
                </c:pt>
                <c:pt idx="123">
                  <c:v>41.139619812790201</c:v>
                </c:pt>
                <c:pt idx="124">
                  <c:v>57.358954576123509</c:v>
                </c:pt>
                <c:pt idx="125">
                  <c:v>-46.277685873185</c:v>
                </c:pt>
                <c:pt idx="126">
                  <c:v>77.855906161408001</c:v>
                </c:pt>
                <c:pt idx="127">
                  <c:v>31.891139515309007</c:v>
                </c:pt>
                <c:pt idx="128">
                  <c:v>8.5480398848769994</c:v>
                </c:pt>
                <c:pt idx="129">
                  <c:v>279.83704303755599</c:v>
                </c:pt>
                <c:pt idx="130">
                  <c:v>159.74524028458103</c:v>
                </c:pt>
                <c:pt idx="131">
                  <c:v>381.23798907700001</c:v>
                </c:pt>
                <c:pt idx="132">
                  <c:v>193.72105424555559</c:v>
                </c:pt>
                <c:pt idx="133">
                  <c:v>183.75482769933404</c:v>
                </c:pt>
                <c:pt idx="134">
                  <c:v>94.037439387445005</c:v>
                </c:pt>
                <c:pt idx="135">
                  <c:v>121.72455059455558</c:v>
                </c:pt>
                <c:pt idx="136">
                  <c:v>34.017671016506199</c:v>
                </c:pt>
                <c:pt idx="137">
                  <c:v>152.04141221624701</c:v>
                </c:pt>
                <c:pt idx="138">
                  <c:v>106.69950963867909</c:v>
                </c:pt>
                <c:pt idx="139">
                  <c:v>4.4896862561860047</c:v>
                </c:pt>
                <c:pt idx="140">
                  <c:v>95.105889600729014</c:v>
                </c:pt>
                <c:pt idx="141">
                  <c:v>325.41649536384</c:v>
                </c:pt>
                <c:pt idx="142">
                  <c:v>272.10709293711199</c:v>
                </c:pt>
                <c:pt idx="143">
                  <c:v>665.05636383572903</c:v>
                </c:pt>
                <c:pt idx="144">
                  <c:v>237.75612504762969</c:v>
                </c:pt>
                <c:pt idx="145">
                  <c:v>365.68250783151905</c:v>
                </c:pt>
                <c:pt idx="146">
                  <c:v>152.0753691332099</c:v>
                </c:pt>
                <c:pt idx="147">
                  <c:v>179.22303156619762</c:v>
                </c:pt>
                <c:pt idx="148">
                  <c:v>64.075431253605004</c:v>
                </c:pt>
                <c:pt idx="149">
                  <c:v>47.230711038543205</c:v>
                </c:pt>
                <c:pt idx="150">
                  <c:v>110.836599539272</c:v>
                </c:pt>
                <c:pt idx="151">
                  <c:v>-14.510033217196991</c:v>
                </c:pt>
                <c:pt idx="152">
                  <c:v>112.43791635608702</c:v>
                </c:pt>
                <c:pt idx="153">
                  <c:v>66.034574450913993</c:v>
                </c:pt>
                <c:pt idx="154">
                  <c:v>157.39176797693898</c:v>
                </c:pt>
                <c:pt idx="155">
                  <c:v>298.88375908993902</c:v>
                </c:pt>
                <c:pt idx="156">
                  <c:v>351.95480449881495</c:v>
                </c:pt>
                <c:pt idx="157">
                  <c:v>201.19872864874102</c:v>
                </c:pt>
                <c:pt idx="158">
                  <c:v>274.56789510456701</c:v>
                </c:pt>
                <c:pt idx="159">
                  <c:v>279.35549475283949</c:v>
                </c:pt>
                <c:pt idx="160">
                  <c:v>137.77066390266668</c:v>
                </c:pt>
                <c:pt idx="161">
                  <c:v>91.927705469542289</c:v>
                </c:pt>
                <c:pt idx="162">
                  <c:v>10.439283524617991</c:v>
                </c:pt>
                <c:pt idx="163">
                  <c:v>68.838977159481985</c:v>
                </c:pt>
              </c:numCache>
            </c:numRef>
          </c:val>
          <c:extLst>
            <c:ext xmlns:c16="http://schemas.microsoft.com/office/drawing/2014/chart" uri="{C3380CC4-5D6E-409C-BE32-E72D297353CC}">
              <c16:uniqueId val="{00000000-69EA-4F50-B643-4422F73D71EF}"/>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layout>
            <c:manualLayout>
              <c:xMode val="edge"/>
              <c:yMode val="edge"/>
              <c:x val="0.50376284069619703"/>
              <c:y val="0.93558896150809545"/>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Honiara!$M$1</c:f>
              <c:strCache>
                <c:ptCount val="1"/>
                <c:pt idx="0">
                  <c:v>IMERG</c:v>
                </c:pt>
              </c:strCache>
            </c:strRef>
          </c:tx>
          <c:spPr>
            <a:solidFill>
              <a:schemeClr val="accent1">
                <a:lumMod val="60000"/>
                <a:lumOff val="40000"/>
              </a:schemeClr>
            </a:solidFill>
            <a:ln>
              <a:noFill/>
            </a:ln>
            <a:effectLst/>
          </c:spPr>
          <c:invertIfNegative val="0"/>
          <c:cat>
            <c:numRef>
              <c:f>Honiara!$L$18:$L$29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Honiara!$M$18:$M$29</c:f>
              <c:numCache>
                <c:formatCode>General</c:formatCode>
                <c:ptCount val="12"/>
                <c:pt idx="0">
                  <c:v>2476.6839517849999</c:v>
                </c:pt>
                <c:pt idx="1">
                  <c:v>3163.9839231579999</c:v>
                </c:pt>
                <c:pt idx="2">
                  <c:v>2953.105927733</c:v>
                </c:pt>
                <c:pt idx="3">
                  <c:v>2806.040924633</c:v>
                </c:pt>
                <c:pt idx="4">
                  <c:v>3211.8254195139998</c:v>
                </c:pt>
                <c:pt idx="5">
                  <c:v>3177.336422591</c:v>
                </c:pt>
                <c:pt idx="6">
                  <c:v>2316.278957085</c:v>
                </c:pt>
                <c:pt idx="7">
                  <c:v>3170.1224258960001</c:v>
                </c:pt>
                <c:pt idx="8">
                  <c:v>3006.894931629</c:v>
                </c:pt>
                <c:pt idx="9">
                  <c:v>3081.2859350200001</c:v>
                </c:pt>
                <c:pt idx="10">
                  <c:v>3189.9684328479998</c:v>
                </c:pt>
                <c:pt idx="11">
                  <c:v>3366.845920368</c:v>
                </c:pt>
              </c:numCache>
            </c:numRef>
          </c:val>
          <c:extLst>
            <c:ext xmlns:c16="http://schemas.microsoft.com/office/drawing/2014/chart" uri="{C3380CC4-5D6E-409C-BE32-E72D297353CC}">
              <c16:uniqueId val="{00000000-B4E3-4BA8-A51C-3F9E1D51619B}"/>
            </c:ext>
          </c:extLst>
        </c:ser>
        <c:ser>
          <c:idx val="0"/>
          <c:order val="1"/>
          <c:tx>
            <c:strRef>
              <c:f>Honiara!$N$1</c:f>
              <c:strCache>
                <c:ptCount val="1"/>
                <c:pt idx="0">
                  <c:v>SSEBop</c:v>
                </c:pt>
              </c:strCache>
            </c:strRef>
          </c:tx>
          <c:spPr>
            <a:solidFill>
              <a:schemeClr val="accent3">
                <a:lumMod val="75000"/>
              </a:schemeClr>
            </a:solidFill>
            <a:ln>
              <a:noFill/>
            </a:ln>
            <a:effectLst/>
          </c:spPr>
          <c:invertIfNegative val="0"/>
          <c:cat>
            <c:numRef>
              <c:f>Honiara!$L$18:$L$29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Honiara!$N$18:$N$29</c:f>
              <c:numCache>
                <c:formatCode>General</c:formatCode>
                <c:ptCount val="12"/>
                <c:pt idx="0">
                  <c:v>1222</c:v>
                </c:pt>
                <c:pt idx="1">
                  <c:v>1207</c:v>
                </c:pt>
                <c:pt idx="2">
                  <c:v>1196</c:v>
                </c:pt>
                <c:pt idx="3">
                  <c:v>1209</c:v>
                </c:pt>
                <c:pt idx="4">
                  <c:v>1206</c:v>
                </c:pt>
                <c:pt idx="5">
                  <c:v>1218</c:v>
                </c:pt>
                <c:pt idx="6">
                  <c:v>1184</c:v>
                </c:pt>
                <c:pt idx="7">
                  <c:v>1205</c:v>
                </c:pt>
                <c:pt idx="8">
                  <c:v>1216</c:v>
                </c:pt>
                <c:pt idx="9">
                  <c:v>1249</c:v>
                </c:pt>
                <c:pt idx="10">
                  <c:v>1226</c:v>
                </c:pt>
                <c:pt idx="11">
                  <c:v>1224</c:v>
                </c:pt>
              </c:numCache>
            </c:numRef>
          </c:val>
          <c:extLst>
            <c:ext xmlns:c16="http://schemas.microsoft.com/office/drawing/2014/chart" uri="{C3380CC4-5D6E-409C-BE32-E72D297353CC}">
              <c16:uniqueId val="{00000001-B4E3-4BA8-A51C-3F9E1D51619B}"/>
            </c:ext>
          </c:extLst>
        </c:ser>
        <c:ser>
          <c:idx val="2"/>
          <c:order val="2"/>
          <c:tx>
            <c:strRef>
              <c:f>Honiara!$O$1</c:f>
              <c:strCache>
                <c:ptCount val="1"/>
                <c:pt idx="0">
                  <c:v>Net water per year</c:v>
                </c:pt>
              </c:strCache>
            </c:strRef>
          </c:tx>
          <c:spPr>
            <a:solidFill>
              <a:srgbClr val="002060"/>
            </a:solidFill>
            <a:ln>
              <a:noFill/>
            </a:ln>
            <a:effectLst/>
          </c:spPr>
          <c:invertIfNegative val="0"/>
          <c:cat>
            <c:numRef>
              <c:f>Honiara!$L$18:$L$29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Honiara!$O$18:$O$29</c:f>
              <c:numCache>
                <c:formatCode>0</c:formatCode>
                <c:ptCount val="12"/>
                <c:pt idx="0">
                  <c:v>1254.6839517849999</c:v>
                </c:pt>
                <c:pt idx="1">
                  <c:v>1956.9839231579999</c:v>
                </c:pt>
                <c:pt idx="2">
                  <c:v>1757.105927733</c:v>
                </c:pt>
                <c:pt idx="3">
                  <c:v>1597.040924633</c:v>
                </c:pt>
                <c:pt idx="4">
                  <c:v>2005.8254195139998</c:v>
                </c:pt>
                <c:pt idx="5">
                  <c:v>1959.336422591</c:v>
                </c:pt>
                <c:pt idx="6">
                  <c:v>1132.278957085</c:v>
                </c:pt>
                <c:pt idx="7">
                  <c:v>1965.1224258960001</c:v>
                </c:pt>
                <c:pt idx="8">
                  <c:v>1790.894931629</c:v>
                </c:pt>
                <c:pt idx="9">
                  <c:v>1832.2859350200001</c:v>
                </c:pt>
                <c:pt idx="10">
                  <c:v>1963.9684328479998</c:v>
                </c:pt>
                <c:pt idx="11">
                  <c:v>2142.845920368</c:v>
                </c:pt>
              </c:numCache>
            </c:numRef>
          </c:val>
          <c:extLst>
            <c:ext xmlns:c16="http://schemas.microsoft.com/office/drawing/2014/chart" uri="{C3380CC4-5D6E-409C-BE32-E72D297353CC}">
              <c16:uniqueId val="{00000002-B4E3-4BA8-A51C-3F9E1D51619B}"/>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42221619707E-2"/>
              <c:y val="0.23606152099681663"/>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NoroMundaBasin!$D$2</c:f>
              <c:strCache>
                <c:ptCount val="1"/>
                <c:pt idx="0">
                  <c:v>mm</c:v>
                </c:pt>
              </c:strCache>
            </c:strRef>
          </c:tx>
          <c:spPr>
            <a:solidFill>
              <a:schemeClr val="accent1">
                <a:lumMod val="60000"/>
                <a:lumOff val="40000"/>
              </a:schemeClr>
            </a:solidFill>
            <a:ln>
              <a:solidFill>
                <a:schemeClr val="accent1">
                  <a:lumMod val="60000"/>
                  <a:lumOff val="40000"/>
                </a:schemeClr>
              </a:solidFill>
            </a:ln>
            <a:effectLst/>
          </c:spPr>
          <c:invertIfNegative val="0"/>
          <c:cat>
            <c:strRef>
              <c:f>NoroMundaBasin!$A$3:$A$338</c:f>
              <c:strCache>
                <c:ptCount val="336"/>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pt idx="333">
                  <c:v>2025-10</c:v>
                </c:pt>
                <c:pt idx="334">
                  <c:v>2025-11</c:v>
                </c:pt>
                <c:pt idx="335">
                  <c:v>2025-12</c:v>
                </c:pt>
              </c:strCache>
            </c:strRef>
          </c:cat>
          <c:val>
            <c:numRef>
              <c:f>NoroMundaBasin!$D$3:$D$335</c:f>
              <c:numCache>
                <c:formatCode>General</c:formatCode>
                <c:ptCount val="333"/>
                <c:pt idx="0">
                  <c:v>493.55500054100003</c:v>
                </c:pt>
                <c:pt idx="1">
                  <c:v>1081.4841515640001</c:v>
                </c:pt>
                <c:pt idx="2">
                  <c:v>333.45999436400001</c:v>
                </c:pt>
                <c:pt idx="3">
                  <c:v>805.45580896800004</c:v>
                </c:pt>
                <c:pt idx="4">
                  <c:v>160.52582931500001</c:v>
                </c:pt>
                <c:pt idx="5">
                  <c:v>207.299158885</c:v>
                </c:pt>
                <c:pt idx="6">
                  <c:v>101.069998834</c:v>
                </c:pt>
                <c:pt idx="7">
                  <c:v>190.831665031</c:v>
                </c:pt>
                <c:pt idx="8">
                  <c:v>39.882499146000001</c:v>
                </c:pt>
                <c:pt idx="9">
                  <c:v>123.217494788</c:v>
                </c:pt>
                <c:pt idx="10">
                  <c:v>11.128332868999999</c:v>
                </c:pt>
                <c:pt idx="11">
                  <c:v>51.683332974000002</c:v>
                </c:pt>
                <c:pt idx="12">
                  <c:v>103.87916439200001</c:v>
                </c:pt>
                <c:pt idx="13">
                  <c:v>38.366665569999903</c:v>
                </c:pt>
                <c:pt idx="14">
                  <c:v>233.816662374</c:v>
                </c:pt>
                <c:pt idx="15">
                  <c:v>224.01998826299999</c:v>
                </c:pt>
                <c:pt idx="16">
                  <c:v>43.082499143</c:v>
                </c:pt>
                <c:pt idx="17">
                  <c:v>17.059166115</c:v>
                </c:pt>
                <c:pt idx="18">
                  <c:v>36.288332371000003</c:v>
                </c:pt>
                <c:pt idx="19">
                  <c:v>15.496666449999999</c:v>
                </c:pt>
                <c:pt idx="20">
                  <c:v>23.841667177999899</c:v>
                </c:pt>
                <c:pt idx="21">
                  <c:v>33.419165442999997</c:v>
                </c:pt>
                <c:pt idx="22">
                  <c:v>65.759999059999998</c:v>
                </c:pt>
                <c:pt idx="23">
                  <c:v>27.548332597999998</c:v>
                </c:pt>
                <c:pt idx="24">
                  <c:v>177.60500109999899</c:v>
                </c:pt>
                <c:pt idx="25">
                  <c:v>109.020831086</c:v>
                </c:pt>
                <c:pt idx="26">
                  <c:v>295.39583506399998</c:v>
                </c:pt>
                <c:pt idx="27">
                  <c:v>167.00416342299999</c:v>
                </c:pt>
                <c:pt idx="28">
                  <c:v>265.75416751300003</c:v>
                </c:pt>
                <c:pt idx="29">
                  <c:v>238.700001042</c:v>
                </c:pt>
                <c:pt idx="30">
                  <c:v>341.782489265999</c:v>
                </c:pt>
                <c:pt idx="31">
                  <c:v>284.89832754700001</c:v>
                </c:pt>
                <c:pt idx="32">
                  <c:v>171.06999487499999</c:v>
                </c:pt>
                <c:pt idx="33">
                  <c:v>139.90999971799999</c:v>
                </c:pt>
                <c:pt idx="34">
                  <c:v>133.87749905300001</c:v>
                </c:pt>
                <c:pt idx="35">
                  <c:v>277.61582570500002</c:v>
                </c:pt>
                <c:pt idx="36">
                  <c:v>183.12333404099999</c:v>
                </c:pt>
                <c:pt idx="37">
                  <c:v>433.08998881500003</c:v>
                </c:pt>
                <c:pt idx="38">
                  <c:v>242.21750041600001</c:v>
                </c:pt>
                <c:pt idx="39">
                  <c:v>192.841667492</c:v>
                </c:pt>
                <c:pt idx="40">
                  <c:v>300.56999241099999</c:v>
                </c:pt>
                <c:pt idx="41">
                  <c:v>219.32167126900001</c:v>
                </c:pt>
                <c:pt idx="42">
                  <c:v>319.26665909799999</c:v>
                </c:pt>
                <c:pt idx="43">
                  <c:v>140.46250028399999</c:v>
                </c:pt>
                <c:pt idx="44">
                  <c:v>120.91582933799999</c:v>
                </c:pt>
                <c:pt idx="45">
                  <c:v>224.25999561999899</c:v>
                </c:pt>
                <c:pt idx="46">
                  <c:v>132.799998827</c:v>
                </c:pt>
                <c:pt idx="47">
                  <c:v>124.33833566200001</c:v>
                </c:pt>
                <c:pt idx="48">
                  <c:v>158.864164053</c:v>
                </c:pt>
                <c:pt idx="49">
                  <c:v>367.45916481699999</c:v>
                </c:pt>
                <c:pt idx="50">
                  <c:v>398.99915102900002</c:v>
                </c:pt>
                <c:pt idx="51">
                  <c:v>105.708333510999</c:v>
                </c:pt>
                <c:pt idx="52">
                  <c:v>207.63666507799999</c:v>
                </c:pt>
                <c:pt idx="53">
                  <c:v>163.29166728800001</c:v>
                </c:pt>
                <c:pt idx="54">
                  <c:v>244.234168582</c:v>
                </c:pt>
                <c:pt idx="55">
                  <c:v>138.087499366</c:v>
                </c:pt>
                <c:pt idx="56">
                  <c:v>185.78832714800001</c:v>
                </c:pt>
                <c:pt idx="57">
                  <c:v>297.69833138799999</c:v>
                </c:pt>
                <c:pt idx="58">
                  <c:v>170.90250008499899</c:v>
                </c:pt>
                <c:pt idx="59">
                  <c:v>102.20333446799999</c:v>
                </c:pt>
                <c:pt idx="60">
                  <c:v>225.186662713</c:v>
                </c:pt>
                <c:pt idx="61">
                  <c:v>236.466665076</c:v>
                </c:pt>
                <c:pt idx="62">
                  <c:v>278.972497879</c:v>
                </c:pt>
                <c:pt idx="63">
                  <c:v>192.26832834300001</c:v>
                </c:pt>
                <c:pt idx="64">
                  <c:v>156.63666748899999</c:v>
                </c:pt>
                <c:pt idx="65">
                  <c:v>269.23915523199997</c:v>
                </c:pt>
                <c:pt idx="66">
                  <c:v>131.873332444</c:v>
                </c:pt>
                <c:pt idx="67">
                  <c:v>184.24416169899999</c:v>
                </c:pt>
                <c:pt idx="68">
                  <c:v>111.06916576</c:v>
                </c:pt>
                <c:pt idx="69">
                  <c:v>175.213333358</c:v>
                </c:pt>
                <c:pt idx="70">
                  <c:v>159.85500518000001</c:v>
                </c:pt>
                <c:pt idx="71">
                  <c:v>227.345830463</c:v>
                </c:pt>
                <c:pt idx="72">
                  <c:v>313.99499372499997</c:v>
                </c:pt>
                <c:pt idx="73">
                  <c:v>306.95582661899999</c:v>
                </c:pt>
                <c:pt idx="74">
                  <c:v>233.08249345799999</c:v>
                </c:pt>
                <c:pt idx="75">
                  <c:v>451.077495688</c:v>
                </c:pt>
                <c:pt idx="76">
                  <c:v>143.60749721600001</c:v>
                </c:pt>
                <c:pt idx="77">
                  <c:v>276.04416028899999</c:v>
                </c:pt>
                <c:pt idx="78">
                  <c:v>219.402487028</c:v>
                </c:pt>
                <c:pt idx="79">
                  <c:v>105.389165074</c:v>
                </c:pt>
                <c:pt idx="80">
                  <c:v>182.25749844699999</c:v>
                </c:pt>
                <c:pt idx="81">
                  <c:v>241.53000159600001</c:v>
                </c:pt>
                <c:pt idx="82">
                  <c:v>166.78333055100001</c:v>
                </c:pt>
                <c:pt idx="83">
                  <c:v>165.160838418</c:v>
                </c:pt>
                <c:pt idx="84">
                  <c:v>198.74916439200001</c:v>
                </c:pt>
                <c:pt idx="85">
                  <c:v>432.15582844699998</c:v>
                </c:pt>
                <c:pt idx="86">
                  <c:v>136.07999753199999</c:v>
                </c:pt>
                <c:pt idx="87">
                  <c:v>181.03332287000001</c:v>
                </c:pt>
                <c:pt idx="88">
                  <c:v>165.225830419</c:v>
                </c:pt>
                <c:pt idx="89">
                  <c:v>107.433332689</c:v>
                </c:pt>
                <c:pt idx="90">
                  <c:v>167.42333460899999</c:v>
                </c:pt>
                <c:pt idx="91">
                  <c:v>234.594160305</c:v>
                </c:pt>
                <c:pt idx="92">
                  <c:v>112.388333562</c:v>
                </c:pt>
                <c:pt idx="93">
                  <c:v>141.72416404999899</c:v>
                </c:pt>
                <c:pt idx="94">
                  <c:v>135.46333465800001</c:v>
                </c:pt>
                <c:pt idx="95">
                  <c:v>174.56666488499999</c:v>
                </c:pt>
                <c:pt idx="96">
                  <c:v>323.116651623</c:v>
                </c:pt>
                <c:pt idx="97">
                  <c:v>373.47749308800002</c:v>
                </c:pt>
                <c:pt idx="98">
                  <c:v>398.77415078500002</c:v>
                </c:pt>
                <c:pt idx="99">
                  <c:v>151.26499781800001</c:v>
                </c:pt>
                <c:pt idx="100">
                  <c:v>179.97999520400001</c:v>
                </c:pt>
                <c:pt idx="101">
                  <c:v>261.58083579599997</c:v>
                </c:pt>
                <c:pt idx="102">
                  <c:v>160.21499683799999</c:v>
                </c:pt>
                <c:pt idx="103">
                  <c:v>179.60917057399999</c:v>
                </c:pt>
                <c:pt idx="104">
                  <c:v>190.99416602700001</c:v>
                </c:pt>
                <c:pt idx="105">
                  <c:v>221.895005776</c:v>
                </c:pt>
                <c:pt idx="106">
                  <c:v>125.95333266999999</c:v>
                </c:pt>
                <c:pt idx="107">
                  <c:v>169.460833358</c:v>
                </c:pt>
                <c:pt idx="108">
                  <c:v>194.303325973</c:v>
                </c:pt>
                <c:pt idx="109">
                  <c:v>422.92249024799997</c:v>
                </c:pt>
                <c:pt idx="110">
                  <c:v>211.96083342099999</c:v>
                </c:pt>
                <c:pt idx="111">
                  <c:v>70.074166102000007</c:v>
                </c:pt>
                <c:pt idx="112">
                  <c:v>145.233329035</c:v>
                </c:pt>
                <c:pt idx="113">
                  <c:v>242.406660082</c:v>
                </c:pt>
                <c:pt idx="114">
                  <c:v>271.96916528600002</c:v>
                </c:pt>
                <c:pt idx="115">
                  <c:v>255.48582945199999</c:v>
                </c:pt>
                <c:pt idx="116">
                  <c:v>131.926666565</c:v>
                </c:pt>
                <c:pt idx="117">
                  <c:v>168.338330727</c:v>
                </c:pt>
                <c:pt idx="118">
                  <c:v>260.91666237300001</c:v>
                </c:pt>
                <c:pt idx="119">
                  <c:v>157.01083309800001</c:v>
                </c:pt>
                <c:pt idx="120">
                  <c:v>587.61416276700004</c:v>
                </c:pt>
                <c:pt idx="121">
                  <c:v>185.66499542099999</c:v>
                </c:pt>
                <c:pt idx="122">
                  <c:v>176.004163619</c:v>
                </c:pt>
                <c:pt idx="123">
                  <c:v>206.933332323</c:v>
                </c:pt>
                <c:pt idx="124">
                  <c:v>133.58499648599999</c:v>
                </c:pt>
                <c:pt idx="125">
                  <c:v>135.633331373</c:v>
                </c:pt>
                <c:pt idx="126">
                  <c:v>133.59916696400001</c:v>
                </c:pt>
                <c:pt idx="127">
                  <c:v>91.069166522999893</c:v>
                </c:pt>
                <c:pt idx="128">
                  <c:v>188.01832897599999</c:v>
                </c:pt>
                <c:pt idx="129">
                  <c:v>237.954157732</c:v>
                </c:pt>
                <c:pt idx="130">
                  <c:v>149.29749452300001</c:v>
                </c:pt>
                <c:pt idx="131">
                  <c:v>160.043333308</c:v>
                </c:pt>
                <c:pt idx="132">
                  <c:v>317.199156023</c:v>
                </c:pt>
                <c:pt idx="133">
                  <c:v>269.10583349299998</c:v>
                </c:pt>
                <c:pt idx="134">
                  <c:v>243.47333125599999</c:v>
                </c:pt>
                <c:pt idx="135">
                  <c:v>122.899166643</c:v>
                </c:pt>
                <c:pt idx="136">
                  <c:v>202.27250126999999</c:v>
                </c:pt>
                <c:pt idx="137">
                  <c:v>167.65332759399999</c:v>
                </c:pt>
                <c:pt idx="138">
                  <c:v>355.54999708899999</c:v>
                </c:pt>
                <c:pt idx="139">
                  <c:v>208.94750011299999</c:v>
                </c:pt>
                <c:pt idx="140">
                  <c:v>257.72416335700001</c:v>
                </c:pt>
                <c:pt idx="141">
                  <c:v>281.56832374999999</c:v>
                </c:pt>
                <c:pt idx="142">
                  <c:v>188.93499943800001</c:v>
                </c:pt>
                <c:pt idx="143">
                  <c:v>233.67666284000001</c:v>
                </c:pt>
                <c:pt idx="144">
                  <c:v>384.586651437</c:v>
                </c:pt>
                <c:pt idx="145">
                  <c:v>334.485831115</c:v>
                </c:pt>
                <c:pt idx="146">
                  <c:v>417.53666084700001</c:v>
                </c:pt>
                <c:pt idx="147">
                  <c:v>214.826665128</c:v>
                </c:pt>
                <c:pt idx="148">
                  <c:v>206.052494389</c:v>
                </c:pt>
                <c:pt idx="149">
                  <c:v>207.58582778100001</c:v>
                </c:pt>
                <c:pt idx="150">
                  <c:v>231.44582986099999</c:v>
                </c:pt>
                <c:pt idx="151">
                  <c:v>308.69416499099998</c:v>
                </c:pt>
                <c:pt idx="152">
                  <c:v>219.95833136300001</c:v>
                </c:pt>
                <c:pt idx="153">
                  <c:v>263.28166007599998</c:v>
                </c:pt>
                <c:pt idx="154">
                  <c:v>274.88416584499998</c:v>
                </c:pt>
                <c:pt idx="155">
                  <c:v>309.589994752</c:v>
                </c:pt>
                <c:pt idx="156">
                  <c:v>270.52832680099999</c:v>
                </c:pt>
                <c:pt idx="157">
                  <c:v>346.12416138899999</c:v>
                </c:pt>
                <c:pt idx="158">
                  <c:v>225.169156942</c:v>
                </c:pt>
                <c:pt idx="159">
                  <c:v>260.82083051299998</c:v>
                </c:pt>
                <c:pt idx="160">
                  <c:v>174.18000264099999</c:v>
                </c:pt>
                <c:pt idx="161">
                  <c:v>223.139996016</c:v>
                </c:pt>
                <c:pt idx="162">
                  <c:v>168.50250117300001</c:v>
                </c:pt>
                <c:pt idx="163">
                  <c:v>264.24415788900001</c:v>
                </c:pt>
                <c:pt idx="164">
                  <c:v>185.095832067</c:v>
                </c:pt>
                <c:pt idx="165">
                  <c:v>337.173321929</c:v>
                </c:pt>
                <c:pt idx="166">
                  <c:v>204.752492378</c:v>
                </c:pt>
                <c:pt idx="167">
                  <c:v>255.23416713099999</c:v>
                </c:pt>
                <c:pt idx="168">
                  <c:v>388.05999498400001</c:v>
                </c:pt>
                <c:pt idx="169">
                  <c:v>289.265826586</c:v>
                </c:pt>
                <c:pt idx="170">
                  <c:v>488.76166524299998</c:v>
                </c:pt>
                <c:pt idx="171">
                  <c:v>277.73833136100001</c:v>
                </c:pt>
                <c:pt idx="172">
                  <c:v>237.43166515600001</c:v>
                </c:pt>
                <c:pt idx="173">
                  <c:v>168.07916018</c:v>
                </c:pt>
                <c:pt idx="174">
                  <c:v>388.33498432300001</c:v>
                </c:pt>
                <c:pt idx="175">
                  <c:v>224.20832961799999</c:v>
                </c:pt>
                <c:pt idx="176">
                  <c:v>488.76082756099999</c:v>
                </c:pt>
                <c:pt idx="177">
                  <c:v>229.601658603</c:v>
                </c:pt>
                <c:pt idx="178">
                  <c:v>256.33915882899998</c:v>
                </c:pt>
                <c:pt idx="179">
                  <c:v>197.755836974</c:v>
                </c:pt>
                <c:pt idx="180">
                  <c:v>260.47833270199999</c:v>
                </c:pt>
                <c:pt idx="181">
                  <c:v>272.33499513300001</c:v>
                </c:pt>
                <c:pt idx="182">
                  <c:v>660.18082955700004</c:v>
                </c:pt>
                <c:pt idx="183">
                  <c:v>234.863329859</c:v>
                </c:pt>
                <c:pt idx="184">
                  <c:v>207.32166804400001</c:v>
                </c:pt>
                <c:pt idx="185">
                  <c:v>211.00666178200001</c:v>
                </c:pt>
                <c:pt idx="186">
                  <c:v>288.03749291299999</c:v>
                </c:pt>
                <c:pt idx="187">
                  <c:v>266.93082625800002</c:v>
                </c:pt>
                <c:pt idx="188">
                  <c:v>149.40666317899999</c:v>
                </c:pt>
                <c:pt idx="189">
                  <c:v>268.44249364000001</c:v>
                </c:pt>
                <c:pt idx="190">
                  <c:v>202.49749564300001</c:v>
                </c:pt>
                <c:pt idx="191">
                  <c:v>250.581663682</c:v>
                </c:pt>
                <c:pt idx="192">
                  <c:v>550.20999950800001</c:v>
                </c:pt>
                <c:pt idx="193">
                  <c:v>489.14249253200001</c:v>
                </c:pt>
                <c:pt idx="194">
                  <c:v>177.36582767300001</c:v>
                </c:pt>
                <c:pt idx="195">
                  <c:v>627.294983656</c:v>
                </c:pt>
                <c:pt idx="196">
                  <c:v>224.24749216999999</c:v>
                </c:pt>
                <c:pt idx="197">
                  <c:v>332.32915742099999</c:v>
                </c:pt>
                <c:pt idx="198">
                  <c:v>220.30749833799999</c:v>
                </c:pt>
                <c:pt idx="199">
                  <c:v>253.06332807300001</c:v>
                </c:pt>
                <c:pt idx="200">
                  <c:v>355.01250049100003</c:v>
                </c:pt>
                <c:pt idx="201">
                  <c:v>514.26581837399999</c:v>
                </c:pt>
                <c:pt idx="202">
                  <c:v>201.57916521800001</c:v>
                </c:pt>
                <c:pt idx="203">
                  <c:v>198.20582817499999</c:v>
                </c:pt>
                <c:pt idx="204">
                  <c:v>692.40997153800004</c:v>
                </c:pt>
                <c:pt idx="205">
                  <c:v>440.90165495600002</c:v>
                </c:pt>
                <c:pt idx="206">
                  <c:v>626.52831747200003</c:v>
                </c:pt>
                <c:pt idx="207">
                  <c:v>274.38249382999999</c:v>
                </c:pt>
                <c:pt idx="208">
                  <c:v>451.01498951500002</c:v>
                </c:pt>
                <c:pt idx="209">
                  <c:v>324.43998740400002</c:v>
                </c:pt>
                <c:pt idx="210">
                  <c:v>463.539149567999</c:v>
                </c:pt>
                <c:pt idx="211">
                  <c:v>116.542499396</c:v>
                </c:pt>
                <c:pt idx="212">
                  <c:v>144.02333252099999</c:v>
                </c:pt>
                <c:pt idx="213">
                  <c:v>186.84833053700001</c:v>
                </c:pt>
                <c:pt idx="214">
                  <c:v>226.21582897299999</c:v>
                </c:pt>
                <c:pt idx="215">
                  <c:v>375.44665517599998</c:v>
                </c:pt>
                <c:pt idx="216">
                  <c:v>157.039994968</c:v>
                </c:pt>
                <c:pt idx="217">
                  <c:v>511.302475455999</c:v>
                </c:pt>
                <c:pt idx="218">
                  <c:v>419.036654034999</c:v>
                </c:pt>
                <c:pt idx="219">
                  <c:v>471.598321024999</c:v>
                </c:pt>
                <c:pt idx="220">
                  <c:v>231.874163541</c:v>
                </c:pt>
                <c:pt idx="221">
                  <c:v>177.48916225100001</c:v>
                </c:pt>
                <c:pt idx="222">
                  <c:v>213.845825475</c:v>
                </c:pt>
                <c:pt idx="223">
                  <c:v>271.595823854</c:v>
                </c:pt>
                <c:pt idx="224">
                  <c:v>221.48832930500001</c:v>
                </c:pt>
                <c:pt idx="225">
                  <c:v>274.63832521400002</c:v>
                </c:pt>
                <c:pt idx="226">
                  <c:v>488.26831486700002</c:v>
                </c:pt>
                <c:pt idx="227">
                  <c:v>372.58915636900002</c:v>
                </c:pt>
                <c:pt idx="228">
                  <c:v>472.92582790300003</c:v>
                </c:pt>
                <c:pt idx="229">
                  <c:v>618.00164566199999</c:v>
                </c:pt>
                <c:pt idx="230">
                  <c:v>346.739159777</c:v>
                </c:pt>
                <c:pt idx="231">
                  <c:v>351.34248630299999</c:v>
                </c:pt>
                <c:pt idx="232">
                  <c:v>308.35416234299998</c:v>
                </c:pt>
                <c:pt idx="233">
                  <c:v>421.92665422499999</c:v>
                </c:pt>
                <c:pt idx="234">
                  <c:v>204.308329281</c:v>
                </c:pt>
                <c:pt idx="235">
                  <c:v>157.987499214</c:v>
                </c:pt>
                <c:pt idx="236">
                  <c:v>285.156660205999</c:v>
                </c:pt>
                <c:pt idx="237">
                  <c:v>259.082494301</c:v>
                </c:pt>
                <c:pt idx="238">
                  <c:v>240.40665657599999</c:v>
                </c:pt>
                <c:pt idx="239">
                  <c:v>361.424991783</c:v>
                </c:pt>
                <c:pt idx="240">
                  <c:v>661.34915241099998</c:v>
                </c:pt>
                <c:pt idx="241">
                  <c:v>334.19333096899999</c:v>
                </c:pt>
                <c:pt idx="242">
                  <c:v>466.713326354</c:v>
                </c:pt>
                <c:pt idx="243">
                  <c:v>353.944155701</c:v>
                </c:pt>
                <c:pt idx="244">
                  <c:v>187.040829809</c:v>
                </c:pt>
                <c:pt idx="245">
                  <c:v>197.07666581199999</c:v>
                </c:pt>
                <c:pt idx="246">
                  <c:v>268.684157300999</c:v>
                </c:pt>
                <c:pt idx="247">
                  <c:v>384.70831468900002</c:v>
                </c:pt>
                <c:pt idx="248">
                  <c:v>232.56915791500001</c:v>
                </c:pt>
                <c:pt idx="249">
                  <c:v>204.38582762499999</c:v>
                </c:pt>
                <c:pt idx="250">
                  <c:v>216.72332612700001</c:v>
                </c:pt>
                <c:pt idx="251">
                  <c:v>510.82415729299998</c:v>
                </c:pt>
                <c:pt idx="252">
                  <c:v>524.62414414</c:v>
                </c:pt>
                <c:pt idx="253">
                  <c:v>369.76582168599998</c:v>
                </c:pt>
                <c:pt idx="254">
                  <c:v>284.16832428499998</c:v>
                </c:pt>
                <c:pt idx="255">
                  <c:v>455.79665961900002</c:v>
                </c:pt>
                <c:pt idx="256">
                  <c:v>316.13166084199997</c:v>
                </c:pt>
                <c:pt idx="257">
                  <c:v>356.70499443800003</c:v>
                </c:pt>
                <c:pt idx="258">
                  <c:v>281.232491197</c:v>
                </c:pt>
                <c:pt idx="259">
                  <c:v>457.33165366100002</c:v>
                </c:pt>
                <c:pt idx="260">
                  <c:v>420.793319838</c:v>
                </c:pt>
                <c:pt idx="261">
                  <c:v>240.401656366</c:v>
                </c:pt>
                <c:pt idx="262">
                  <c:v>233.83416276299999</c:v>
                </c:pt>
                <c:pt idx="263">
                  <c:v>156.820828476</c:v>
                </c:pt>
                <c:pt idx="264">
                  <c:v>321.30248744699998</c:v>
                </c:pt>
                <c:pt idx="265">
                  <c:v>711.40499962000001</c:v>
                </c:pt>
                <c:pt idx="266">
                  <c:v>432.153321228999</c:v>
                </c:pt>
                <c:pt idx="267">
                  <c:v>465.32498339099999</c:v>
                </c:pt>
                <c:pt idx="268">
                  <c:v>287.08832414599999</c:v>
                </c:pt>
                <c:pt idx="269">
                  <c:v>205.754162734</c:v>
                </c:pt>
                <c:pt idx="270">
                  <c:v>306.45415461699997</c:v>
                </c:pt>
                <c:pt idx="271">
                  <c:v>327.993331573999</c:v>
                </c:pt>
                <c:pt idx="272">
                  <c:v>389.64915972199998</c:v>
                </c:pt>
                <c:pt idx="273">
                  <c:v>312.417492683999</c:v>
                </c:pt>
                <c:pt idx="274">
                  <c:v>249.84832896999899</c:v>
                </c:pt>
                <c:pt idx="275">
                  <c:v>309.15164602700003</c:v>
                </c:pt>
                <c:pt idx="276">
                  <c:v>253.20582819500001</c:v>
                </c:pt>
                <c:pt idx="277">
                  <c:v>485.14415291099999</c:v>
                </c:pt>
                <c:pt idx="278">
                  <c:v>337.67415539000001</c:v>
                </c:pt>
                <c:pt idx="279">
                  <c:v>339.29999160099999</c:v>
                </c:pt>
                <c:pt idx="280">
                  <c:v>449.57082023300001</c:v>
                </c:pt>
                <c:pt idx="281">
                  <c:v>197.38999206899999</c:v>
                </c:pt>
                <c:pt idx="282">
                  <c:v>231.55916069</c:v>
                </c:pt>
                <c:pt idx="283">
                  <c:v>280.67499253900002</c:v>
                </c:pt>
                <c:pt idx="284">
                  <c:v>268.50249572500002</c:v>
                </c:pt>
                <c:pt idx="285">
                  <c:v>343.56498777100001</c:v>
                </c:pt>
                <c:pt idx="286">
                  <c:v>225.93333215199999</c:v>
                </c:pt>
                <c:pt idx="287">
                  <c:v>454.381660723999</c:v>
                </c:pt>
                <c:pt idx="288">
                  <c:v>607.63665084599995</c:v>
                </c:pt>
                <c:pt idx="289">
                  <c:v>525.94081659000005</c:v>
                </c:pt>
                <c:pt idx="290">
                  <c:v>382.36416151399999</c:v>
                </c:pt>
                <c:pt idx="291">
                  <c:v>426.679987162999</c:v>
                </c:pt>
                <c:pt idx="292">
                  <c:v>243.01083228799999</c:v>
                </c:pt>
                <c:pt idx="293">
                  <c:v>204.357493887</c:v>
                </c:pt>
                <c:pt idx="294">
                  <c:v>65.900831732</c:v>
                </c:pt>
                <c:pt idx="295">
                  <c:v>210.607494186</c:v>
                </c:pt>
                <c:pt idx="296">
                  <c:v>244.95915683799899</c:v>
                </c:pt>
                <c:pt idx="297">
                  <c:v>220.20999245300001</c:v>
                </c:pt>
                <c:pt idx="298">
                  <c:v>278.766654867</c:v>
                </c:pt>
                <c:pt idx="299">
                  <c:v>334.95998786000001</c:v>
                </c:pt>
                <c:pt idx="300">
                  <c:v>434.374159507</c:v>
                </c:pt>
                <c:pt idx="301">
                  <c:v>453.54082903899899</c:v>
                </c:pt>
                <c:pt idx="302">
                  <c:v>535.64248540400001</c:v>
                </c:pt>
                <c:pt idx="303">
                  <c:v>238.78666110500001</c:v>
                </c:pt>
                <c:pt idx="304">
                  <c:v>265.18582579299999</c:v>
                </c:pt>
                <c:pt idx="305">
                  <c:v>340.52249468500003</c:v>
                </c:pt>
                <c:pt idx="306">
                  <c:v>620.07332866100001</c:v>
                </c:pt>
                <c:pt idx="307">
                  <c:v>317.53582742700002</c:v>
                </c:pt>
                <c:pt idx="308">
                  <c:v>192.34166714700001</c:v>
                </c:pt>
                <c:pt idx="309">
                  <c:v>277.14332353600003</c:v>
                </c:pt>
                <c:pt idx="310">
                  <c:v>380.57582069099999</c:v>
                </c:pt>
                <c:pt idx="311">
                  <c:v>421.778319517</c:v>
                </c:pt>
                <c:pt idx="312">
                  <c:v>587.68165133399998</c:v>
                </c:pt>
                <c:pt idx="313">
                  <c:v>499.61915780499999</c:v>
                </c:pt>
                <c:pt idx="314">
                  <c:v>446.94998855599999</c:v>
                </c:pt>
                <c:pt idx="315">
                  <c:v>338.71832581000001</c:v>
                </c:pt>
                <c:pt idx="316">
                  <c:v>429.07583472099998</c:v>
                </c:pt>
                <c:pt idx="317">
                  <c:v>257.431660749</c:v>
                </c:pt>
                <c:pt idx="318">
                  <c:v>215.856664857</c:v>
                </c:pt>
                <c:pt idx="319">
                  <c:v>321.809160534</c:v>
                </c:pt>
                <c:pt idx="320">
                  <c:v>205.31916038200001</c:v>
                </c:pt>
                <c:pt idx="321">
                  <c:v>348.76665947700002</c:v>
                </c:pt>
                <c:pt idx="322">
                  <c:v>191.469997423</c:v>
                </c:pt>
                <c:pt idx="323">
                  <c:v>316.76166082200001</c:v>
                </c:pt>
                <c:pt idx="324">
                  <c:v>447.33332276300001</c:v>
                </c:pt>
                <c:pt idx="325">
                  <c:v>460.55998715200002</c:v>
                </c:pt>
                <c:pt idx="326">
                  <c:v>427.36916106500001</c:v>
                </c:pt>
                <c:pt idx="327">
                  <c:v>455.066646951</c:v>
                </c:pt>
                <c:pt idx="328">
                  <c:v>328.69165813199999</c:v>
                </c:pt>
                <c:pt idx="329">
                  <c:v>316.27582426999999</c:v>
                </c:pt>
                <c:pt idx="330">
                  <c:v>300.78499093099998</c:v>
                </c:pt>
                <c:pt idx="331">
                  <c:v>304.00165882700003</c:v>
                </c:pt>
                <c:pt idx="332">
                  <c:v>260.95749231999997</c:v>
                </c:pt>
              </c:numCache>
            </c:numRef>
          </c:val>
          <c:extLst>
            <c:ext xmlns:c16="http://schemas.microsoft.com/office/drawing/2014/chart" uri="{C3380CC4-5D6E-409C-BE32-E72D297353CC}">
              <c16:uniqueId val="{00000000-8B7E-4898-9A65-CD1059DD6CBF}"/>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643498889561883"/>
          <c:y val="8.3629255345809866E-2"/>
          <c:w val="0.80246971532404598"/>
          <c:h val="0.7592155103073468"/>
        </c:manualLayout>
      </c:layout>
      <c:barChart>
        <c:barDir val="col"/>
        <c:grouping val="clustered"/>
        <c:varyColors val="0"/>
        <c:ser>
          <c:idx val="0"/>
          <c:order val="0"/>
          <c:tx>
            <c:strRef>
              <c:f>NoroMundaBasin!$M$1</c:f>
              <c:strCache>
                <c:ptCount val="1"/>
                <c:pt idx="0">
                  <c:v>IMERG (P)</c:v>
                </c:pt>
              </c:strCache>
            </c:strRef>
          </c:tx>
          <c:spPr>
            <a:solidFill>
              <a:schemeClr val="accent1">
                <a:lumMod val="60000"/>
                <a:lumOff val="40000"/>
              </a:schemeClr>
            </a:solidFill>
            <a:ln>
              <a:solidFill>
                <a:schemeClr val="bg1">
                  <a:lumMod val="95000"/>
                </a:schemeClr>
              </a:solidFill>
            </a:ln>
            <a:effectLst/>
          </c:spPr>
          <c:invertIfNegative val="0"/>
          <c:dLbls>
            <c:delete val="1"/>
          </c:dLbls>
          <c:cat>
            <c:numRef>
              <c:f>[1]PortVilaBasin!$L$3:$L$29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NoroMundaBasin!$M$3:$M$30</c:f>
              <c:numCache>
                <c:formatCode>General</c:formatCode>
                <c:ptCount val="28"/>
                <c:pt idx="0">
                  <c:v>3599.593267279</c:v>
                </c:pt>
                <c:pt idx="1">
                  <c:v>862.57830895699999</c:v>
                </c:pt>
                <c:pt idx="2">
                  <c:v>2602.6341353920002</c:v>
                </c:pt>
                <c:pt idx="3">
                  <c:v>2633.2074732729998</c:v>
                </c:pt>
                <c:pt idx="4">
                  <c:v>2540.873306813</c:v>
                </c:pt>
                <c:pt idx="5">
                  <c:v>2348.3708056360001</c:v>
                </c:pt>
                <c:pt idx="6">
                  <c:v>2805.2857881089999</c:v>
                </c:pt>
                <c:pt idx="7">
                  <c:v>2186.8374684179998</c:v>
                </c:pt>
                <c:pt idx="8">
                  <c:v>2736.3216295570001</c:v>
                </c:pt>
                <c:pt idx="9">
                  <c:v>2532.5482923620002</c:v>
                </c:pt>
                <c:pt idx="10">
                  <c:v>2385.416630015</c:v>
                </c:pt>
                <c:pt idx="11">
                  <c:v>2849.0049628659999</c:v>
                </c:pt>
                <c:pt idx="12">
                  <c:v>3372.9282775850002</c:v>
                </c:pt>
                <c:pt idx="13">
                  <c:v>2914.964946869</c:v>
                </c:pt>
                <c:pt idx="14">
                  <c:v>3634.337439418</c:v>
                </c:pt>
                <c:pt idx="15">
                  <c:v>3272.0824523920001</c:v>
                </c:pt>
                <c:pt idx="16">
                  <c:v>4143.0240916290004</c:v>
                </c:pt>
                <c:pt idx="17">
                  <c:v>4322.2932108859904</c:v>
                </c:pt>
                <c:pt idx="18">
                  <c:v>3810.7665463600001</c:v>
                </c:pt>
                <c:pt idx="19">
                  <c:v>4027.6565675739998</c:v>
                </c:pt>
                <c:pt idx="20">
                  <c:v>4018.212402006</c:v>
                </c:pt>
                <c:pt idx="21">
                  <c:v>4097.6057173110003</c:v>
                </c:pt>
                <c:pt idx="22">
                  <c:v>4318.542392161</c:v>
                </c:pt>
                <c:pt idx="23">
                  <c:v>3866.90157</c:v>
                </c:pt>
                <c:pt idx="24">
                  <c:v>3745.394060224</c:v>
                </c:pt>
                <c:pt idx="25">
                  <c:v>4477.5007425120002</c:v>
                </c:pt>
                <c:pt idx="26">
                  <c:v>4159.4599224699996</c:v>
                </c:pt>
                <c:pt idx="27">
                  <c:v>3301.0407424109999</c:v>
                </c:pt>
              </c:numCache>
            </c:numRef>
          </c:val>
          <c:extLst>
            <c:ext xmlns:c16="http://schemas.microsoft.com/office/drawing/2014/chart" uri="{C3380CC4-5D6E-409C-BE32-E72D297353CC}">
              <c16:uniqueId val="{00000000-75A3-4203-BBDE-722A01C58CB9}"/>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NoroMundaBasin!$I$1</c:f>
              <c:strCache>
                <c:ptCount val="1"/>
                <c:pt idx="0">
                  <c:v>IMERG</c:v>
                </c:pt>
              </c:strCache>
            </c:strRef>
          </c:tx>
          <c:spPr>
            <a:pattFill prst="ltDnDiag">
              <a:fgClr>
                <a:srgbClr val="002060"/>
              </a:fgClr>
              <a:bgClr>
                <a:schemeClr val="bg1"/>
              </a:bgClr>
            </a:pattFill>
            <a:ln>
              <a:noFill/>
            </a:ln>
            <a:effectLst/>
          </c:spPr>
          <c:val>
            <c:numRef>
              <c:f>NoroMundaBasin!$I$3:$I$14</c:f>
              <c:numCache>
                <c:formatCode>0.00</c:formatCode>
                <c:ptCount val="12"/>
                <c:pt idx="0">
                  <c:v>369.84679160524001</c:v>
                </c:pt>
                <c:pt idx="1">
                  <c:v>392.69949234235997</c:v>
                </c:pt>
                <c:pt idx="2">
                  <c:v>349.23039427685177</c:v>
                </c:pt>
                <c:pt idx="3">
                  <c:v>303.77773990774068</c:v>
                </c:pt>
                <c:pt idx="4">
                  <c:v>234.13669393370367</c:v>
                </c:pt>
                <c:pt idx="5">
                  <c:v>227.07024218844441</c:v>
                </c:pt>
                <c:pt idx="6">
                  <c:v>246.32431586651842</c:v>
                </c:pt>
                <c:pt idx="7">
                  <c:v>229.37197097485182</c:v>
                </c:pt>
                <c:pt idx="8">
                  <c:v>211.81160128292584</c:v>
                </c:pt>
                <c:pt idx="9">
                  <c:v>243.22045727896287</c:v>
                </c:pt>
                <c:pt idx="10">
                  <c:v>206.43582928181473</c:v>
                </c:pt>
                <c:pt idx="11">
                  <c:v>248.00595231622222</c:v>
                </c:pt>
              </c:numCache>
            </c:numRef>
          </c:val>
          <c:extLst>
            <c:ext xmlns:c16="http://schemas.microsoft.com/office/drawing/2014/chart" uri="{C3380CC4-5D6E-409C-BE32-E72D297353CC}">
              <c16:uniqueId val="{00000000-04FD-4A18-A4AC-A3B9E09AFA92}"/>
            </c:ext>
          </c:extLst>
        </c:ser>
        <c:ser>
          <c:idx val="1"/>
          <c:order val="1"/>
          <c:tx>
            <c:strRef>
              <c:f>NoroMundaBasin!$J$1</c:f>
              <c:strCache>
                <c:ptCount val="1"/>
                <c:pt idx="0">
                  <c:v>SSEBop</c:v>
                </c:pt>
              </c:strCache>
            </c:strRef>
          </c:tx>
          <c:spPr>
            <a:solidFill>
              <a:schemeClr val="accent3">
                <a:lumMod val="75000"/>
              </a:schemeClr>
            </a:solidFill>
            <a:ln>
              <a:solidFill>
                <a:schemeClr val="accent3">
                  <a:lumMod val="75000"/>
                </a:schemeClr>
              </a:solidFill>
            </a:ln>
            <a:effectLst/>
          </c:spPr>
          <c:val>
            <c:numRef>
              <c:f>NoroMundaBasin!$J$3:$J$14</c:f>
              <c:numCache>
                <c:formatCode>0.00</c:formatCode>
                <c:ptCount val="12"/>
                <c:pt idx="0">
                  <c:v>112.34841628959224</c:v>
                </c:pt>
                <c:pt idx="1">
                  <c:v>99.413283775048356</c:v>
                </c:pt>
                <c:pt idx="2">
                  <c:v>101.9676296554121</c:v>
                </c:pt>
                <c:pt idx="3">
                  <c:v>100.72119735468125</c:v>
                </c:pt>
                <c:pt idx="4">
                  <c:v>87.938043856595854</c:v>
                </c:pt>
                <c:pt idx="5">
                  <c:v>87.052906369648412</c:v>
                </c:pt>
                <c:pt idx="6">
                  <c:v>86.710755308040319</c:v>
                </c:pt>
                <c:pt idx="7">
                  <c:v>90.353985381134649</c:v>
                </c:pt>
                <c:pt idx="8">
                  <c:v>98.860076575008563</c:v>
                </c:pt>
                <c:pt idx="9">
                  <c:v>109.39714584058417</c:v>
                </c:pt>
                <c:pt idx="10">
                  <c:v>105.40619561433998</c:v>
                </c:pt>
                <c:pt idx="11">
                  <c:v>105.82561782109246</c:v>
                </c:pt>
              </c:numCache>
            </c:numRef>
          </c:val>
          <c:extLst>
            <c:ext xmlns:c16="http://schemas.microsoft.com/office/drawing/2014/chart" uri="{C3380CC4-5D6E-409C-BE32-E72D297353CC}">
              <c16:uniqueId val="{00000001-04FD-4A18-A4AC-A3B9E09AFA92}"/>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568443367655966E-2"/>
              <c:y val="0.18079306071871126"/>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2.xml><?xml version="1.0" encoding="utf-8"?>
<ds:datastoreItem xmlns:ds="http://schemas.openxmlformats.org/officeDocument/2006/customXml" ds:itemID="{77D818A0-AFCA-4605-9810-001EA3896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E54B05-05F0-494E-A531-26AB656042C5}">
  <ds:schemaRefs>
    <ds:schemaRef ds:uri="http://schemas.microsoft.com/office/2006/metadata/properties"/>
    <ds:schemaRef ds:uri="http://schemas.microsoft.com/office/infopath/2007/PartnerControls"/>
    <ds:schemaRef ds:uri="1741af05-4105-436b-99ed-2ae635da4422"/>
    <ds:schemaRef ds:uri="31062a0d-ede8-4112-b4bb-00a9c1bc8e16"/>
  </ds:schemaRefs>
</ds:datastoreItem>
</file>

<file path=customXml/itemProps4.xml><?xml version="1.0" encoding="utf-8"?>
<ds:datastoreItem xmlns:ds="http://schemas.openxmlformats.org/officeDocument/2006/customXml" ds:itemID="{6763F4BB-F3CD-47FE-9AA0-892B305FDD6E}">
  <ds:schemaRefs>
    <ds:schemaRef ds:uri="http://schemas.microsoft.com/sharepoint/v3/contenttype/forms"/>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Template>
  <TotalTime>30</TotalTime>
  <Pages>78</Pages>
  <Words>14648</Words>
  <Characters>86533</Characters>
  <Application>Microsoft Office Word</Application>
  <DocSecurity>0</DocSecurity>
  <Lines>1878</Lines>
  <Paragraphs>891</Paragraphs>
  <ScaleCrop>false</ScaleCrop>
  <Company>Department of Interior</Company>
  <LinksUpToDate>false</LinksUpToDate>
  <CharactersWithSpaces>100231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Senay, Gabriel</cp:lastModifiedBy>
  <cp:revision>552</cp:revision>
  <cp:lastPrinted>2018-11-27T04:43:00Z</cp:lastPrinted>
  <dcterms:created xsi:type="dcterms:W3CDTF">2026-01-30T20:09:00Z</dcterms:created>
  <dcterms:modified xsi:type="dcterms:W3CDTF">2026-04-28T21:43:00Z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